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4335">
      <w:pPr>
        <w:pStyle w:val="Ttulo1"/>
        <w:rPr>
          <w:sz w:val="24"/>
        </w:rPr>
      </w:pPr>
      <w:bookmarkStart w:id="0" w:name="_GoBack"/>
      <w:bookmarkEnd w:id="0"/>
      <w:r>
        <w:rPr>
          <w:sz w:val="24"/>
          <w:lang w:val="pt-PT"/>
        </w:rPr>
        <w:t xml:space="preserve">4.3.14 - Tabela Operações com Isenção da Contribuição Social (CST 07) </w:t>
      </w:r>
      <w:r>
        <w:rPr>
          <w:sz w:val="24"/>
        </w:rPr>
        <w:t>– Atualizada em 26/02/2013</w:t>
      </w:r>
      <w:r>
        <w:rPr>
          <w:sz w:val="24"/>
          <w:lang w:val="pt-P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6116"/>
        <w:gridCol w:w="2340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Código</w:t>
            </w:r>
          </w:p>
        </w:tc>
        <w:tc>
          <w:tcPr>
            <w:tcW w:w="6116" w:type="dxa"/>
            <w:tcBorders>
              <w:bottom w:val="single" w:sz="4" w:space="0" w:color="auto"/>
            </w:tcBorders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Descrição do Produto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NCM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8C433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Início de Escrituração</w:t>
            </w:r>
          </w:p>
          <w:p w:rsidR="00000000" w:rsidRDefault="008C433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Mês/Ano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8C433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Término de Escrituração</w:t>
            </w:r>
          </w:p>
          <w:p w:rsidR="00000000" w:rsidRDefault="008C433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Mês/Ano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shd w:val="clear" w:color="auto" w:fill="C0C0C0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116" w:type="dxa"/>
            <w:shd w:val="clear" w:color="auto" w:fill="C0C0C0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MERCADORIAS E SERVIÇOS</w:t>
            </w:r>
          </w:p>
        </w:tc>
        <w:tc>
          <w:tcPr>
            <w:tcW w:w="2340" w:type="dxa"/>
            <w:shd w:val="clear" w:color="auto" w:fill="C0C0C0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8C4335"/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Fornecimento de mercadorias</w:t>
            </w:r>
            <w:r>
              <w:rPr>
                <w:rFonts w:ascii="Arial" w:hAnsi="Arial" w:cs="Arial"/>
                <w:sz w:val="20"/>
                <w:szCs w:val="20"/>
              </w:rPr>
              <w:t xml:space="preserve"> ou serviços para uso ou consumo de bordo em embarcações e aeronaves em tráfego internacional, quando o pagamento for efetuado em moeda conversível (exceto querosene de aviação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40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</w:rPr>
              <w:t>Transporte internacional de cargas ou passageiros</w:t>
            </w:r>
            <w:proofErr w:type="gramEnd"/>
          </w:p>
        </w:tc>
        <w:tc>
          <w:tcPr>
            <w:tcW w:w="2340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8C4335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Receitas auferidas pelos estaleiros navais brasileiros nas atividades de construção, conservação, modernização, conversão e reparo de embarcações pré-registradas ou registradas no Registro Especial Brasileiro (REB), instituído pela Lei nº 9.432, de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</w:rPr>
              <w:t>8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d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>e janeiro de 1997</w:t>
            </w:r>
          </w:p>
        </w:tc>
        <w:tc>
          <w:tcPr>
            <w:tcW w:w="2340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8C4335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Frete de mercadorias transportadas entre o País e o exterior pelas embarcações registradas no REB, de que trata o art. 11 da Lei nº 9.432, de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</w:rPr>
              <w:t>1997</w:t>
            </w:r>
            <w:proofErr w:type="gramEnd"/>
          </w:p>
        </w:tc>
        <w:tc>
          <w:tcPr>
            <w:tcW w:w="2340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8C4335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shd w:val="clear" w:color="auto" w:fill="C0C0C0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116" w:type="dxa"/>
            <w:shd w:val="clear" w:color="auto" w:fill="C0C0C0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ENTIDADES ESPECIAIS (COFINS)</w:t>
            </w:r>
          </w:p>
        </w:tc>
        <w:tc>
          <w:tcPr>
            <w:tcW w:w="2340" w:type="dxa"/>
            <w:shd w:val="clear" w:color="auto" w:fill="C0C0C0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8C4335"/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6116" w:type="dxa"/>
          </w:tcPr>
          <w:p w:rsidR="00000000" w:rsidRDefault="008C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Receitas relativas às </w:t>
            </w:r>
            <w:r>
              <w:rPr>
                <w:rFonts w:ascii="Arial" w:hAnsi="Arial" w:cs="Arial"/>
                <w:sz w:val="20"/>
                <w:szCs w:val="20"/>
              </w:rPr>
              <w:t>atividades próprias dos templos de qualquer culto; partidos políticos; instituições de educação e de assistência social que preencham as condições e requisitos do art. 12 da Lei nº 9.532, de 10 de dezembro de 1997; instituições de caráter filantrópico, rec</w:t>
            </w:r>
            <w:r>
              <w:rPr>
                <w:rFonts w:ascii="Arial" w:hAnsi="Arial" w:cs="Arial"/>
                <w:sz w:val="20"/>
                <w:szCs w:val="20"/>
              </w:rPr>
              <w:t>reativo, cultural, científico e as associações, que preencham as condições e requisitos do art. 15 da Lei nº 9.532, de 1997; sindicatos, federações e confederações; serviços sociais autônomos, criados ou autorizados por lei; conselhos de fiscalização de pr</w:t>
            </w:r>
            <w:r>
              <w:rPr>
                <w:rFonts w:ascii="Arial" w:hAnsi="Arial" w:cs="Arial"/>
                <w:sz w:val="20"/>
                <w:szCs w:val="20"/>
              </w:rPr>
              <w:t xml:space="preserve">ofissões regulamentadas; fundações de direito privado; condomínios de proprietários de imóveis residenciais ou comerciais; e Organização das Cooperativas Brasileiras (OCB) e as Organizações Estaduais de Cooperativas previstas no art. 105 e seu § 1º da Lei </w:t>
            </w:r>
            <w:r>
              <w:rPr>
                <w:rFonts w:ascii="Arial" w:hAnsi="Arial" w:cs="Arial"/>
                <w:sz w:val="20"/>
                <w:szCs w:val="20"/>
              </w:rPr>
              <w:t>nº 5.764, de 16 de dezembro de 1971.</w:t>
            </w:r>
          </w:p>
        </w:tc>
        <w:tc>
          <w:tcPr>
            <w:tcW w:w="2340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8C4335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6116" w:type="dxa"/>
          </w:tcPr>
          <w:p w:rsidR="00000000" w:rsidRDefault="008C4335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Receitas das entidades beneficentes de assistência social com a finalidade de prestação de serviços nas áreas de assistência social, saúde ou educação, que atendam aos requisitos do art. 29 da Lei nº 12.</w:t>
            </w:r>
            <w:r>
              <w:rPr>
                <w:rFonts w:ascii="Arial" w:hAnsi="Arial" w:cs="Arial"/>
                <w:sz w:val="20"/>
                <w:szCs w:val="20"/>
              </w:rPr>
              <w:t>101, de 27 de novembro de 2009.</w:t>
            </w:r>
          </w:p>
        </w:tc>
        <w:tc>
          <w:tcPr>
            <w:tcW w:w="2340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8C4335">
            <w:pPr>
              <w:jc w:val="center"/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shd w:val="clear" w:color="auto" w:fill="C0C0C0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116" w:type="dxa"/>
            <w:shd w:val="clear" w:color="auto" w:fill="C0C0C0"/>
            <w:vAlign w:val="center"/>
          </w:tcPr>
          <w:p w:rsidR="00000000" w:rsidRDefault="008C43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ITAIPU BINACIONAL</w:t>
            </w:r>
          </w:p>
        </w:tc>
        <w:tc>
          <w:tcPr>
            <w:tcW w:w="2340" w:type="dxa"/>
            <w:shd w:val="clear" w:color="auto" w:fill="C0C0C0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tcBorders>
              <w:bottom w:val="single" w:sz="4" w:space="0" w:color="auto"/>
            </w:tcBorders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301</w:t>
            </w:r>
          </w:p>
        </w:tc>
        <w:tc>
          <w:tcPr>
            <w:tcW w:w="6116" w:type="dxa"/>
            <w:tcBorders>
              <w:bottom w:val="single" w:sz="4" w:space="0" w:color="auto"/>
            </w:tcBorders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 de energia elétrica pela Itaipu Binacional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shd w:val="clear" w:color="auto" w:fill="C0C0C0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116" w:type="dxa"/>
            <w:shd w:val="clear" w:color="auto" w:fill="C0C0C0"/>
            <w:vAlign w:val="center"/>
          </w:tcPr>
          <w:p w:rsidR="00000000" w:rsidRDefault="008C43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COPA DAS CONFEDERAÇÕES FIFA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2013, COPA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MUNDO FIFA 2014, JOGOS OLÍMPICOS DE 2016 E JOGOS PARAOLÍMPICOS DE 2016</w:t>
            </w:r>
          </w:p>
        </w:tc>
        <w:tc>
          <w:tcPr>
            <w:tcW w:w="2340" w:type="dxa"/>
            <w:shd w:val="clear" w:color="auto" w:fill="C0C0C0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Importação de bens ou mercadorias para uso ou consumo exclusivo na organização e realização dos referidos eventos, promovida pela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Fifa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, Subsidiária Fifa no Brasil, Confederações Fifa, Associações estrangeiras membros da Fifa, Parceiros Comerciais da Fi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fa domiciliados no exterior, Emissora Fonte da Fifa e Prestadores de Serviço da Fifa domiciliados no exterior, ou por intermédio de pessoa jurídica por eles contratada para representá-los</w:t>
            </w:r>
          </w:p>
        </w:tc>
        <w:tc>
          <w:tcPr>
            <w:tcW w:w="23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Receita auferida por Subsidiária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Fifa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no Brasil, dec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orrente das atividades próprias e diretamente vinculadas à organização ou realização dos referidos eventos, exceto as receitas decorrentes da venda de ingressos e de pacotes de hospedagem.</w:t>
            </w:r>
          </w:p>
        </w:tc>
        <w:tc>
          <w:tcPr>
            <w:tcW w:w="23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Receita das atividades próprias, auferida pelos Pre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stadores de Serviços da FIFA, estabelecidos no País sob a forma de sociedade com finalidade específica para o desenvolvimento de atividades diretamente relacionadas à realização dos eventos.</w:t>
            </w:r>
          </w:p>
        </w:tc>
        <w:tc>
          <w:tcPr>
            <w:tcW w:w="23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I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mportações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bens, mercadorias ou serviços para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uso ou consumo exclusivo em atividades próprias e diretamente vinculadas à organização ou realização dos Eventos Olímpicos de 2016, realizadas pelas entidades referidas no § 2º do art. 4º, da Lei nº 12.780/2013.</w:t>
            </w:r>
          </w:p>
        </w:tc>
        <w:tc>
          <w:tcPr>
            <w:tcW w:w="23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01/01/2013</w:t>
            </w: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31/12/2017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Rendimentos, 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messas e operações de câmbio e seguros, decorrentes das atividades próprias e diretamente vinculadas à organização ou realização dos eventos olímpicos de 2016, envolvendo o CIO e as empresas a ele vinculadas.</w:t>
            </w:r>
          </w:p>
        </w:tc>
        <w:tc>
          <w:tcPr>
            <w:tcW w:w="23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01/01/2013</w:t>
            </w: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31/12/2017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Receitas e rendimen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tos auferidos pelas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empresas vinculadas ao CIO, e domiciliadas no Brasil, em relação aos fatos geradores decorrentes das atividades próprias e diretamente vinculadas à organização ou realização dos Eventos Olímpicos de 2016.</w:t>
            </w:r>
          </w:p>
        </w:tc>
        <w:tc>
          <w:tcPr>
            <w:tcW w:w="23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01/01/2013</w:t>
            </w: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31/12/2017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eitas, lucros e rendimentos auferidos pelo RIO 2016, em relação aos fatos geradores decorrentes das atividades próprias e diretamente vinculadas à organização ou realização do evento.</w:t>
            </w:r>
          </w:p>
        </w:tc>
        <w:tc>
          <w:tcPr>
            <w:tcW w:w="23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01/01/2013</w:t>
            </w: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31/12/2017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shd w:val="clear" w:color="auto" w:fill="C0C0C0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6116" w:type="dxa"/>
            <w:shd w:val="clear" w:color="auto" w:fill="C0C0C0"/>
            <w:vAlign w:val="center"/>
          </w:tcPr>
          <w:p w:rsidR="00000000" w:rsidRDefault="008C43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DEMAIS RECEITAS COM ISENÇÃO</w:t>
            </w:r>
          </w:p>
        </w:tc>
        <w:tc>
          <w:tcPr>
            <w:tcW w:w="2340" w:type="dxa"/>
            <w:shd w:val="clear" w:color="auto" w:fill="C0C0C0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901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Recursos</w:t>
            </w:r>
            <w:r>
              <w:rPr>
                <w:rFonts w:ascii="Arial" w:hAnsi="Arial" w:cs="Arial"/>
                <w:sz w:val="20"/>
                <w:szCs w:val="18"/>
              </w:rPr>
              <w:t xml:space="preserve"> recebidos a título de repasse, oriundos do Orçamento Geral da União, dos Estados, do Distrito Federal e dos Municípios, pelas empresas públicas e sociedades de economia 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mista</w:t>
            </w:r>
            <w:proofErr w:type="gramEnd"/>
          </w:p>
        </w:tc>
        <w:tc>
          <w:tcPr>
            <w:tcW w:w="2340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902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Receita da instituição privada de ensino superior, com fins lucr</w:t>
            </w:r>
            <w:r>
              <w:rPr>
                <w:rFonts w:ascii="Arial" w:hAnsi="Arial" w:cs="Arial"/>
                <w:sz w:val="20"/>
                <w:szCs w:val="18"/>
              </w:rPr>
              <w:t xml:space="preserve">ativos ou sem fins 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lucrativos não beneficente</w:t>
            </w:r>
            <w:proofErr w:type="gramEnd"/>
            <w:r>
              <w:rPr>
                <w:rFonts w:ascii="Arial" w:hAnsi="Arial" w:cs="Arial"/>
                <w:sz w:val="20"/>
                <w:szCs w:val="18"/>
              </w:rPr>
              <w:t>, que aderir ao Programa Universidade para Todos (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Prouni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), no período de vigência do termo de adesão, decorrentes da realização de atividades de ensino superior, proveniente de cursos de graduação ou cursos seqü</w:t>
            </w:r>
            <w:r>
              <w:rPr>
                <w:rFonts w:ascii="Arial" w:hAnsi="Arial" w:cs="Arial"/>
                <w:sz w:val="20"/>
                <w:szCs w:val="18"/>
              </w:rPr>
              <w:t>enciais de formação específica</w:t>
            </w:r>
          </w:p>
        </w:tc>
        <w:tc>
          <w:tcPr>
            <w:tcW w:w="2340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01/2011</w:t>
            </w:r>
          </w:p>
        </w:tc>
        <w:tc>
          <w:tcPr>
            <w:tcW w:w="1440" w:type="dxa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  <w:rPrChange w:id="1" w:author="14206315434" w:date="2013-03-06T08:34:00Z">
                  <w:rPr>
                    <w:rFonts w:ascii="Arial" w:hAnsi="Arial" w:cs="Arial"/>
                    <w:sz w:val="20"/>
                  </w:rPr>
                </w:rPrChange>
              </w:rPr>
            </w:pPr>
            <w:r>
              <w:rPr>
                <w:rFonts w:ascii="Arial" w:hAnsi="Arial" w:cs="Arial"/>
                <w:sz w:val="20"/>
                <w:rPrChange w:id="2" w:author="14206315434" w:date="2013-03-06T08:34:00Z">
                  <w:rPr>
                    <w:rFonts w:ascii="Arial" w:hAnsi="Arial" w:cs="Arial"/>
                    <w:sz w:val="20"/>
                  </w:rPr>
                </w:rPrChange>
              </w:rPr>
              <w:t>903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sz w:val="20"/>
                <w:szCs w:val="18"/>
                <w:rPrChange w:id="3" w:author="14206315434" w:date="2013-03-06T08:34:00Z">
                  <w:rPr>
                    <w:rFonts w:ascii="Arial" w:hAnsi="Arial" w:cs="Arial"/>
                    <w:sz w:val="20"/>
                    <w:szCs w:val="18"/>
                  </w:rPr>
                </w:rPrChange>
              </w:rPr>
            </w:pPr>
            <w:r>
              <w:rPr>
                <w:rFonts w:ascii="Arial" w:hAnsi="Arial" w:cs="Arial"/>
                <w:sz w:val="18"/>
                <w:szCs w:val="18"/>
                <w:rPrChange w:id="4" w:author="14206315434" w:date="2013-03-06T08:34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 xml:space="preserve">Receita bruta de venda a varejo dos componentes e equipamentos de rede, terminais e transceptores definidos em regulamento que sejam dedicados aos serviços de telecomunicações prestados por meio das subfaixas </w:t>
            </w:r>
            <w:r>
              <w:rPr>
                <w:rFonts w:ascii="Arial" w:hAnsi="Arial" w:cs="Arial"/>
                <w:sz w:val="18"/>
                <w:szCs w:val="18"/>
                <w:rPrChange w:id="5" w:author="14206315434" w:date="2013-03-06T08:34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 xml:space="preserve">de radiofrequência de 451 MHz a 458 MHz e de 461 MHz a 468 MHz, assim como por meio de estações terrenas </w:t>
            </w:r>
            <w:proofErr w:type="spellStart"/>
            <w:r>
              <w:rPr>
                <w:rFonts w:ascii="Arial" w:hAnsi="Arial" w:cs="Arial"/>
                <w:sz w:val="18"/>
                <w:szCs w:val="18"/>
                <w:rPrChange w:id="6" w:author="14206315434" w:date="2013-03-06T08:34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satelitais</w:t>
            </w:r>
            <w:proofErr w:type="spellEnd"/>
            <w:r>
              <w:rPr>
                <w:rFonts w:ascii="Arial" w:hAnsi="Arial" w:cs="Arial"/>
                <w:sz w:val="18"/>
                <w:szCs w:val="18"/>
                <w:rPrChange w:id="7" w:author="14206315434" w:date="2013-03-06T08:34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 xml:space="preserve"> de pequeno porte que contribuam com os objetivos de implantação do </w:t>
            </w:r>
            <w:proofErr w:type="gramStart"/>
            <w:r>
              <w:rPr>
                <w:rFonts w:ascii="Arial" w:hAnsi="Arial" w:cs="Arial"/>
                <w:sz w:val="18"/>
                <w:szCs w:val="18"/>
                <w:rPrChange w:id="8" w:author="14206315434" w:date="2013-03-06T08:34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PNBL</w:t>
            </w:r>
            <w:proofErr w:type="gramEnd"/>
          </w:p>
        </w:tc>
        <w:tc>
          <w:tcPr>
            <w:tcW w:w="2340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  <w:rPrChange w:id="9" w:author="14206315434" w:date="2013-03-06T08:34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PrChange w:id="10" w:author="14206315434" w:date="2013-03-06T08:34:00Z">
                  <w:rPr/>
                </w:rPrChange>
              </w:rPr>
            </w:pPr>
            <w:r>
              <w:rPr>
                <w:rFonts w:ascii="Arial" w:hAnsi="Arial" w:cs="Arial"/>
                <w:sz w:val="20"/>
                <w:rPrChange w:id="11" w:author="14206315434" w:date="2013-03-06T08:34:00Z">
                  <w:rPr>
                    <w:rFonts w:ascii="Arial" w:hAnsi="Arial" w:cs="Arial"/>
                    <w:sz w:val="20"/>
                  </w:rPr>
                </w:rPrChange>
              </w:rPr>
              <w:t>09/2012</w:t>
            </w: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PrChange w:id="12" w:author="14206315434" w:date="2013-03-06T08:34:00Z">
                  <w:rPr/>
                </w:rPrChange>
              </w:rPr>
            </w:pPr>
            <w:r>
              <w:rPr>
                <w:rFonts w:ascii="Arial" w:hAnsi="Arial" w:cs="Arial"/>
                <w:sz w:val="20"/>
                <w:rPrChange w:id="13" w:author="14206315434" w:date="2013-03-06T08:34:00Z">
                  <w:rPr>
                    <w:rFonts w:ascii="Arial" w:hAnsi="Arial" w:cs="Arial"/>
                    <w:sz w:val="20"/>
                  </w:rPr>
                </w:rPrChange>
              </w:rPr>
              <w:t>12/2018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999</w:t>
            </w:r>
          </w:p>
        </w:tc>
        <w:tc>
          <w:tcPr>
            <w:tcW w:w="6116" w:type="dxa"/>
            <w:vAlign w:val="center"/>
          </w:tcPr>
          <w:p w:rsidR="00000000" w:rsidRDefault="008C43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Código genérico – Operações com Isenção</w:t>
            </w:r>
          </w:p>
        </w:tc>
        <w:tc>
          <w:tcPr>
            <w:tcW w:w="2340" w:type="dxa"/>
          </w:tcPr>
          <w:p w:rsidR="00000000" w:rsidRDefault="008C43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0000" w:rsidRDefault="008C4335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01/2</w:t>
            </w:r>
            <w:r>
              <w:rPr>
                <w:rFonts w:ascii="Arial" w:hAnsi="Arial" w:cs="Arial"/>
                <w:bCs/>
                <w:sz w:val="20"/>
              </w:rPr>
              <w:t>011</w:t>
            </w:r>
          </w:p>
        </w:tc>
        <w:tc>
          <w:tcPr>
            <w:tcW w:w="1440" w:type="dxa"/>
          </w:tcPr>
          <w:p w:rsidR="00000000" w:rsidRDefault="008C4335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OBS: </w:t>
      </w:r>
      <w:r>
        <w:rPr>
          <w:rFonts w:ascii="Arial" w:eastAsia="Times New Roman" w:hAnsi="Arial" w:cs="Arial"/>
          <w:sz w:val="20"/>
        </w:rPr>
        <w:t>Legislação de Referência:</w:t>
      </w: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1. Grupo 100 – </w:t>
      </w:r>
      <w:r>
        <w:rPr>
          <w:rFonts w:ascii="Arial" w:hAnsi="Arial" w:cs="Arial"/>
          <w:b/>
          <w:bCs/>
          <w:sz w:val="20"/>
          <w:szCs w:val="20"/>
        </w:rPr>
        <w:t>MERCADORIAS E SERVIÇOS</w:t>
      </w:r>
      <w:r>
        <w:rPr>
          <w:rFonts w:ascii="Arial" w:eastAsia="Times New Roman" w:hAnsi="Arial" w:cs="Arial"/>
          <w:b/>
          <w:bCs/>
          <w:sz w:val="20"/>
        </w:rPr>
        <w:t xml:space="preserve"> </w:t>
      </w: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Códigos 101 a 104: Medida Provisória nº 2.158-35, de 2001, art. </w:t>
      </w:r>
      <w:proofErr w:type="gramStart"/>
      <w:r>
        <w:rPr>
          <w:rFonts w:ascii="Arial" w:eastAsia="Times New Roman" w:hAnsi="Arial" w:cs="Arial"/>
          <w:sz w:val="20"/>
        </w:rPr>
        <w:t>14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2. Grupo 200 – </w:t>
      </w:r>
      <w:r>
        <w:rPr>
          <w:rFonts w:ascii="Arial" w:hAnsi="Arial" w:cs="Arial"/>
          <w:b/>
          <w:bCs/>
          <w:sz w:val="20"/>
          <w:szCs w:val="20"/>
        </w:rPr>
        <w:t>ENTIDADES ESPECIAIS (COFINS)</w:t>
      </w:r>
      <w:r>
        <w:rPr>
          <w:rFonts w:ascii="Arial" w:eastAsia="Times New Roman" w:hAnsi="Arial" w:cs="Arial"/>
          <w:b/>
          <w:bCs/>
          <w:sz w:val="20"/>
        </w:rPr>
        <w:t xml:space="preserve"> </w:t>
      </w: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201: Constituição Federal, art. 195, § 7º, e Medida Provisó</w:t>
      </w:r>
      <w:r>
        <w:rPr>
          <w:rFonts w:ascii="Arial" w:eastAsia="Times New Roman" w:hAnsi="Arial" w:cs="Arial"/>
          <w:sz w:val="20"/>
        </w:rPr>
        <w:t>ria nº 2.158-35, de 2001, art. 13, art. 14, inciso X, e art. 17.</w:t>
      </w: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202: Lei nº 12.101, de 2009, art. </w:t>
      </w:r>
      <w:proofErr w:type="gramStart"/>
      <w:r>
        <w:rPr>
          <w:rFonts w:ascii="Arial" w:eastAsia="Times New Roman" w:hAnsi="Arial" w:cs="Arial"/>
          <w:sz w:val="20"/>
        </w:rPr>
        <w:t>29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3. Grupo 300 – </w:t>
      </w:r>
      <w:r>
        <w:rPr>
          <w:rFonts w:ascii="Arial" w:hAnsi="Arial" w:cs="Arial"/>
          <w:b/>
          <w:bCs/>
          <w:sz w:val="20"/>
          <w:szCs w:val="20"/>
        </w:rPr>
        <w:t>ITAIPU BINACIONAL</w:t>
      </w: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301: Lei nº 10.925, de 2004, art. </w:t>
      </w:r>
      <w:proofErr w:type="gramStart"/>
      <w:r>
        <w:rPr>
          <w:rFonts w:ascii="Arial" w:eastAsia="Times New Roman" w:hAnsi="Arial" w:cs="Arial"/>
          <w:sz w:val="20"/>
        </w:rPr>
        <w:t>14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4. Grupo 400 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COPA DAS CONFEDERAÇÕES FIFA 2013 E COPA DO MUNDO FIFA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2014</w:t>
      </w: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sz w:val="20"/>
        </w:rPr>
        <w:t xml:space="preserve">Código 401: Lei nº 12.350, de 2010, art. </w:t>
      </w:r>
      <w:proofErr w:type="gramStart"/>
      <w:r>
        <w:rPr>
          <w:rFonts w:ascii="Arial" w:eastAsia="Times New Roman" w:hAnsi="Arial" w:cs="Arial"/>
          <w:sz w:val="20"/>
        </w:rPr>
        <w:t>3º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sz w:val="20"/>
        </w:rPr>
        <w:t xml:space="preserve">Código 402: Lei nº 12.350, de 2010, art. </w:t>
      </w:r>
      <w:proofErr w:type="gramStart"/>
      <w:r>
        <w:rPr>
          <w:rFonts w:ascii="Arial" w:eastAsia="Times New Roman" w:hAnsi="Arial" w:cs="Arial"/>
          <w:sz w:val="20"/>
        </w:rPr>
        <w:t>8º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403: Lei nº 12.350, de 2010, art. </w:t>
      </w:r>
      <w:proofErr w:type="gramStart"/>
      <w:r>
        <w:rPr>
          <w:rFonts w:ascii="Arial" w:eastAsia="Times New Roman" w:hAnsi="Arial" w:cs="Arial"/>
          <w:sz w:val="20"/>
        </w:rPr>
        <w:t>9º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404: Lei nº 12.780, de 2013, art. </w:t>
      </w:r>
      <w:proofErr w:type="gramStart"/>
      <w:r>
        <w:rPr>
          <w:rFonts w:ascii="Arial" w:eastAsia="Times New Roman" w:hAnsi="Arial" w:cs="Arial"/>
          <w:sz w:val="20"/>
        </w:rPr>
        <w:t>4º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405: Lei nº 12.780, de 2013, art. </w:t>
      </w:r>
      <w:proofErr w:type="gramStart"/>
      <w:r>
        <w:rPr>
          <w:rFonts w:ascii="Arial" w:eastAsia="Times New Roman" w:hAnsi="Arial" w:cs="Arial"/>
          <w:sz w:val="20"/>
        </w:rPr>
        <w:t>8º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406: Lei nº 12.780, de </w:t>
      </w:r>
      <w:r>
        <w:rPr>
          <w:rFonts w:ascii="Arial" w:eastAsia="Times New Roman" w:hAnsi="Arial" w:cs="Arial"/>
          <w:sz w:val="20"/>
        </w:rPr>
        <w:t xml:space="preserve">2013, art. </w:t>
      </w:r>
      <w:proofErr w:type="gramStart"/>
      <w:r>
        <w:rPr>
          <w:rFonts w:ascii="Arial" w:eastAsia="Times New Roman" w:hAnsi="Arial" w:cs="Arial"/>
          <w:sz w:val="20"/>
        </w:rPr>
        <w:t>9º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407: Lei nº 12.780, de 2013, art. </w:t>
      </w:r>
      <w:proofErr w:type="gramStart"/>
      <w:r>
        <w:rPr>
          <w:rFonts w:ascii="Arial" w:eastAsia="Times New Roman" w:hAnsi="Arial" w:cs="Arial"/>
          <w:sz w:val="20"/>
        </w:rPr>
        <w:t>10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4. Grupo 900 – DEMAIS RECEITAS COM ISENÇÃO</w:t>
      </w: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901: Medida Provisória nº 2.158-35, de 2001, art. </w:t>
      </w:r>
      <w:proofErr w:type="gramStart"/>
      <w:r>
        <w:rPr>
          <w:rFonts w:ascii="Arial" w:eastAsia="Times New Roman" w:hAnsi="Arial" w:cs="Arial"/>
          <w:sz w:val="20"/>
        </w:rPr>
        <w:t>14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902: Lei 11.096, de 2005, art. 8º e IN SRF Nº 456, de </w:t>
      </w:r>
      <w:proofErr w:type="gramStart"/>
      <w:r>
        <w:rPr>
          <w:rFonts w:ascii="Arial" w:eastAsia="Times New Roman" w:hAnsi="Arial" w:cs="Arial"/>
          <w:sz w:val="20"/>
        </w:rPr>
        <w:t>2004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903: Lei nº 12.715,</w:t>
      </w:r>
      <w:r>
        <w:rPr>
          <w:rFonts w:ascii="Arial" w:eastAsia="Times New Roman" w:hAnsi="Arial" w:cs="Arial"/>
          <w:sz w:val="20"/>
        </w:rPr>
        <w:t xml:space="preserve"> de 2012, art. </w:t>
      </w:r>
      <w:proofErr w:type="gramStart"/>
      <w:r>
        <w:rPr>
          <w:rFonts w:ascii="Arial" w:eastAsia="Times New Roman" w:hAnsi="Arial" w:cs="Arial"/>
          <w:sz w:val="20"/>
        </w:rPr>
        <w:t>37</w:t>
      </w:r>
      <w:proofErr w:type="gramEnd"/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000000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p w:rsidR="008C4335" w:rsidRDefault="008C43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</w:rPr>
      </w:pPr>
    </w:p>
    <w:sectPr w:rsidR="008C433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06"/>
    <w:rsid w:val="00053D06"/>
    <w:rsid w:val="008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semiHidden/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3D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semiHidden/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3D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4</vt:lpstr>
    </vt:vector>
  </TitlesOfParts>
  <Company>RFB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4</dc:title>
  <dc:creator>14206315434</dc:creator>
  <cp:lastModifiedBy>ANDRE</cp:lastModifiedBy>
  <cp:revision>2</cp:revision>
  <dcterms:created xsi:type="dcterms:W3CDTF">2017-11-09T16:20:00Z</dcterms:created>
  <dcterms:modified xsi:type="dcterms:W3CDTF">2017-11-09T16:20:00Z</dcterms:modified>
</cp:coreProperties>
</file>