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E5478">
      <w:pPr>
        <w:pStyle w:val="Ttulo1"/>
        <w:rPr>
          <w:sz w:val="24"/>
        </w:rPr>
      </w:pPr>
      <w:bookmarkStart w:id="0" w:name="_GoBack"/>
      <w:bookmarkEnd w:id="0"/>
      <w:r>
        <w:rPr>
          <w:sz w:val="24"/>
        </w:rPr>
        <w:t xml:space="preserve">Tabela 4.3.13 – Produtos Sujeitos à Alíquota Zero da Contribuição Social (CST 06) – </w:t>
      </w:r>
      <w:r>
        <w:rPr>
          <w:color w:val="0000FF"/>
          <w:sz w:val="24"/>
        </w:rPr>
        <w:t>Atualizada em 25/10/2017</w:t>
      </w:r>
      <w:r>
        <w:rPr>
          <w:sz w:val="24"/>
        </w:rPr>
        <w:t>:</w:t>
      </w:r>
    </w:p>
    <w:tbl>
      <w:tblPr>
        <w:tblW w:w="0" w:type="auto"/>
        <w:jc w:val="center"/>
        <w:tblInd w:w="-10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9"/>
        <w:gridCol w:w="7211"/>
        <w:gridCol w:w="1734"/>
        <w:gridCol w:w="1584"/>
        <w:gridCol w:w="1791"/>
      </w:tblGrid>
      <w:tr w:rsidR="00000000">
        <w:trPr>
          <w:trHeight w:val="259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Código</w:t>
            </w:r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Descrição do Produto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NCM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Início de Escrituração</w:t>
            </w:r>
          </w:p>
          <w:p w:rsidR="00000000" w:rsidRDefault="007E547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Mês/Ano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Término de Escrituração</w:t>
            </w:r>
          </w:p>
          <w:p w:rsidR="00000000" w:rsidRDefault="007E547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Mês/Ano</w:t>
            </w:r>
          </w:p>
        </w:tc>
      </w:tr>
      <w:tr w:rsidR="00000000">
        <w:trPr>
          <w:trHeight w:val="3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100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0000" w:rsidRDefault="007E5478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INSUMOS E PRODUTOS AGROPECUÁRIOS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000000">
        <w:trPr>
          <w:trHeight w:val="6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101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Adub</w:t>
            </w:r>
            <w:r>
              <w:rPr>
                <w:rFonts w:ascii="Arial" w:hAnsi="Arial" w:cs="Arial"/>
                <w:sz w:val="20"/>
              </w:rPr>
              <w:t xml:space="preserve">os ou fertilizantes classificados no Capítulo 31, exceto os produtos de uso veterinário, </w:t>
            </w:r>
            <w:proofErr w:type="gramStart"/>
            <w:r>
              <w:rPr>
                <w:rFonts w:ascii="Arial" w:hAnsi="Arial" w:cs="Arial"/>
                <w:sz w:val="20"/>
              </w:rPr>
              <w:t>da TIPI</w:t>
            </w:r>
            <w:proofErr w:type="gramEnd"/>
            <w:r>
              <w:rPr>
                <w:rFonts w:ascii="Arial" w:hAnsi="Arial" w:cs="Arial"/>
                <w:sz w:val="20"/>
              </w:rPr>
              <w:t>, e suas matérias-primas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000000">
        <w:trPr>
          <w:trHeight w:val="3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Defensivos agropecuários classificados na posição 38.08 </w:t>
            </w:r>
            <w:proofErr w:type="gramStart"/>
            <w:r>
              <w:rPr>
                <w:rFonts w:ascii="Arial" w:hAnsi="Arial" w:cs="Arial"/>
                <w:sz w:val="20"/>
              </w:rPr>
              <w:t>da TIPI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e suas matérias-primas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000000">
        <w:trPr>
          <w:trHeight w:val="66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Sementes e mud</w:t>
            </w:r>
            <w:r>
              <w:rPr>
                <w:rFonts w:ascii="Arial" w:hAnsi="Arial" w:cs="Arial"/>
                <w:sz w:val="20"/>
              </w:rPr>
              <w:t>as destinadas à semeadura e plantio, em conformidade com o disposto na Lei n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</w:rPr>
              <w:t xml:space="preserve"> 10.711/03, e produtos de natureza biológica utilizados em sua </w:t>
            </w:r>
            <w:proofErr w:type="gramStart"/>
            <w:r>
              <w:rPr>
                <w:rFonts w:ascii="Arial" w:hAnsi="Arial" w:cs="Arial"/>
                <w:sz w:val="20"/>
              </w:rPr>
              <w:t>produção</w:t>
            </w:r>
            <w:proofErr w:type="gramEnd"/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000000">
        <w:trPr>
          <w:trHeight w:val="3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Corretivo de solo de origem mineral classificado no Capítulo 25 </w:t>
            </w:r>
            <w:proofErr w:type="gramStart"/>
            <w:r>
              <w:rPr>
                <w:rFonts w:ascii="Arial" w:hAnsi="Arial" w:cs="Arial"/>
                <w:sz w:val="20"/>
              </w:rPr>
              <w:t>da TIPI</w:t>
            </w:r>
            <w:proofErr w:type="gramEnd"/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000000">
        <w:trPr>
          <w:trHeight w:val="15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</w:t>
            </w:r>
            <w:r>
              <w:rPr>
                <w:rFonts w:ascii="Arial" w:hAnsi="Arial" w:cs="Arial"/>
                <w:color w:val="000000"/>
                <w:sz w:val="20"/>
              </w:rPr>
              <w:t xml:space="preserve">egumes de vagem, secos, em grão, mesmo pelados ou partidos; arroz; farinhas e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sêmolas</w:t>
            </w:r>
            <w:proofErr w:type="gramEnd"/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0713.33.19, 0713.33.29, 0713.33.99, 1006.20, 1006.30 e 1106.20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000000">
        <w:trPr>
          <w:trHeight w:val="3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106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Inoculantes agrícolas produzidos a partir de bactérias fixadoras de nitrogênio, classificado</w:t>
            </w:r>
            <w:r>
              <w:rPr>
                <w:rFonts w:ascii="Arial" w:hAnsi="Arial" w:cs="Arial"/>
                <w:sz w:val="20"/>
              </w:rPr>
              <w:t xml:space="preserve">s no código 3002.90.99 </w:t>
            </w:r>
            <w:proofErr w:type="gramStart"/>
            <w:r>
              <w:rPr>
                <w:rFonts w:ascii="Arial" w:hAnsi="Arial" w:cs="Arial"/>
                <w:sz w:val="20"/>
              </w:rPr>
              <w:t>da TIPI</w:t>
            </w:r>
            <w:proofErr w:type="gramEnd"/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000000">
        <w:trPr>
          <w:trHeight w:val="3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107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Vacinas para medicina veterinária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3002.30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000000">
        <w:trPr>
          <w:trHeight w:val="6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Farinha, grumos e sêmolas, grãos esmagados ou em flocos, de milho, classificados, respectivamente, nos códigos 1102.20, 1103.13 e 1104.19, todos </w:t>
            </w:r>
            <w:proofErr w:type="gramStart"/>
            <w:r>
              <w:rPr>
                <w:rFonts w:ascii="Arial" w:hAnsi="Arial" w:cs="Arial"/>
                <w:sz w:val="20"/>
              </w:rPr>
              <w:t>da TIP</w:t>
            </w:r>
            <w:r>
              <w:rPr>
                <w:rFonts w:ascii="Arial" w:hAnsi="Arial" w:cs="Arial"/>
                <w:sz w:val="20"/>
              </w:rPr>
              <w:t>I</w:t>
            </w:r>
            <w:proofErr w:type="gramEnd"/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1102.20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1103.13 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000000">
        <w:trPr>
          <w:trHeight w:val="3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Pintos de </w:t>
            </w:r>
            <w:proofErr w:type="gramStart"/>
            <w:r>
              <w:rPr>
                <w:rFonts w:ascii="Arial" w:hAnsi="Arial" w:cs="Arial"/>
                <w:sz w:val="20"/>
              </w:rPr>
              <w:t>1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(um) dia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0105.11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000000">
        <w:trPr>
          <w:trHeight w:val="15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110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Leite fluido pasteurizado ou industrializado, na forma de ultrapasteurizado, leite em pó, integral, semidesnatado ou desnatado, leite fermentado, bebidas e compostos lácteos e f</w:t>
            </w:r>
            <w:r>
              <w:rPr>
                <w:rFonts w:ascii="Arial" w:hAnsi="Arial" w:cs="Arial"/>
                <w:sz w:val="20"/>
              </w:rPr>
              <w:t xml:space="preserve">órmulas infantis, assim definidas conforme previsão legal específica, destinados ao consumo humano ou utilizados na industrialização de produtos que se destinam ao consumo </w:t>
            </w:r>
            <w:proofErr w:type="gramStart"/>
            <w:r>
              <w:rPr>
                <w:rFonts w:ascii="Arial" w:hAnsi="Arial" w:cs="Arial"/>
                <w:sz w:val="20"/>
              </w:rPr>
              <w:t>humano</w:t>
            </w:r>
            <w:proofErr w:type="gramEnd"/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000000">
        <w:trPr>
          <w:trHeight w:val="6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111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Queijos tipo mozarela, minas, prato, queijo de coalho, ricot</w:t>
            </w:r>
            <w:r>
              <w:rPr>
                <w:rFonts w:ascii="Arial" w:hAnsi="Arial" w:cs="Arial"/>
                <w:sz w:val="20"/>
              </w:rPr>
              <w:t>a, requeijão, queijo provolone, queijo parmesão e queijo fresco não maturado.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000000">
        <w:trPr>
          <w:trHeight w:val="6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112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Soro de leite fluido a ser empregado na industrialização de produtos destinados ao consumo humano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000000">
        <w:trPr>
          <w:trHeight w:val="3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113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Farinha de trigo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>1101.00.10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lang w:val="pt-PT"/>
              </w:rPr>
            </w:pPr>
          </w:p>
        </w:tc>
      </w:tr>
      <w:tr w:rsidR="00000000">
        <w:trPr>
          <w:trHeight w:val="3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>114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>Trig</w:t>
            </w:r>
            <w:r>
              <w:rPr>
                <w:rFonts w:ascii="Arial" w:hAnsi="Arial" w:cs="Arial"/>
                <w:sz w:val="20"/>
                <w:lang w:val="pt-PT"/>
              </w:rPr>
              <w:t>o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>10.01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lang w:val="pt-PT"/>
              </w:rPr>
            </w:pPr>
          </w:p>
        </w:tc>
      </w:tr>
      <w:tr w:rsidR="00000000">
        <w:trPr>
          <w:trHeight w:val="6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Pré-misturas próprias para fabricação de pão comum e pão comum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1901.20.00 Ex 01 e 1905.90.90 Ex 01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lang w:val="pt-PT"/>
              </w:rPr>
            </w:pPr>
          </w:p>
        </w:tc>
      </w:tr>
      <w:tr w:rsidR="00000000">
        <w:trPr>
          <w:trHeight w:val="3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116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Produtos hortícolas e frutas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Capítulos 7 e 8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000000">
        <w:trPr>
          <w:trHeight w:val="3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117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Ovos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04.07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000000">
        <w:trPr>
          <w:trHeight w:val="3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118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Venda de semens e embriões 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05.11.1</w:t>
            </w:r>
            <w:r>
              <w:rPr>
                <w:rFonts w:ascii="Arial" w:hAnsi="Arial" w:cs="Arial"/>
                <w:sz w:val="20"/>
              </w:rPr>
              <w:t>0.00, 0511.99.10 e 0511.99.20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000000">
        <w:trPr>
          <w:trHeight w:val="3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119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Massas alimentícias classificadas na posição 19.02 </w:t>
            </w:r>
            <w:proofErr w:type="gramStart"/>
            <w:r>
              <w:rPr>
                <w:rFonts w:ascii="Arial" w:hAnsi="Arial" w:cs="Arial"/>
                <w:sz w:val="20"/>
              </w:rPr>
              <w:t>da TIPI</w:t>
            </w:r>
            <w:proofErr w:type="gram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1902.11.00</w:t>
            </w:r>
          </w:p>
          <w:p w:rsidR="00000000" w:rsidRDefault="007E54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1902.19.00</w:t>
            </w:r>
          </w:p>
          <w:p w:rsidR="00000000" w:rsidRDefault="007E54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1902.20.00</w:t>
            </w:r>
          </w:p>
          <w:p w:rsidR="00000000" w:rsidRDefault="007E54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1902.30.00</w:t>
            </w:r>
          </w:p>
          <w:p w:rsidR="00000000" w:rsidRDefault="007E547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02/12/2011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00000">
        <w:trPr>
          <w:trHeight w:val="3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Queijo do reino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31/05/2012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00000">
        <w:trPr>
          <w:trHeight w:val="535"/>
          <w:jc w:val="center"/>
        </w:trPr>
        <w:tc>
          <w:tcPr>
            <w:tcW w:w="719" w:type="dxa"/>
            <w:tcBorders>
              <w:left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7211" w:type="dxa"/>
            <w:tcBorders>
              <w:left w:val="single" w:sz="4" w:space="0" w:color="000000"/>
            </w:tcBorders>
            <w:vAlign w:val="center"/>
          </w:tcPr>
          <w:p w:rsidR="00000000" w:rsidRDefault="007E5478">
            <w:pPr>
              <w:pStyle w:val="04partenormativa"/>
              <w:snapToGrid w:val="0"/>
              <w:spacing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Carnes bovina, suína, ovina, caprina e de aves e produ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tos de origem animal classificados nos seguintes códigos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 TIPI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000000" w:rsidRDefault="007E5478">
            <w:pPr>
              <w:pStyle w:val="04partenormativa"/>
              <w:spacing w:before="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a) 02.01, 02.02, 0206.10.00, 0206.2, 0210.20.00, 0506.90.00, 0510.00.10 e 1502.10.1;</w:t>
            </w:r>
          </w:p>
          <w:p w:rsidR="00000000" w:rsidRDefault="007E5478">
            <w:pPr>
              <w:pStyle w:val="04partenormativa"/>
              <w:spacing w:before="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b) 02.03, 0206.30.00, 0206.4, 02.07, 02.09 e 0210.1 e carne de frango classificada no código 0210.99.00;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proofErr w:type="gramEnd"/>
          </w:p>
          <w:p w:rsidR="00000000" w:rsidRDefault="007E5478">
            <w:pPr>
              <w:spacing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c) 02.04 e miudezas comestíveis de ovinos e caprinos classificadas no código 0206.80.00;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02.01, </w:t>
            </w:r>
          </w:p>
          <w:p w:rsidR="00000000" w:rsidRDefault="007E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02.02,</w:t>
            </w:r>
          </w:p>
          <w:p w:rsidR="00000000" w:rsidRDefault="007E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0206.10.00, 0206.2, 0210.20.00, 0506.90.00, 0510.00.10 e 1502.10.1</w:t>
            </w:r>
          </w:p>
          <w:p w:rsidR="00000000" w:rsidRDefault="007E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02.03,</w:t>
            </w:r>
          </w:p>
          <w:p w:rsidR="00000000" w:rsidRDefault="007E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02.04,</w:t>
            </w:r>
          </w:p>
          <w:p w:rsidR="00000000" w:rsidRDefault="007E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0206.30.00, 0206.4,</w:t>
            </w:r>
          </w:p>
          <w:p w:rsidR="00000000" w:rsidRDefault="007E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02.07,</w:t>
            </w:r>
          </w:p>
          <w:p w:rsidR="00000000" w:rsidRDefault="007E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02.09 e</w:t>
            </w:r>
          </w:p>
          <w:p w:rsidR="00000000" w:rsidRDefault="007E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0210.1</w:t>
            </w:r>
          </w:p>
        </w:tc>
        <w:tc>
          <w:tcPr>
            <w:tcW w:w="1584" w:type="dxa"/>
            <w:tcBorders>
              <w:left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08/03/2013</w:t>
            </w:r>
          </w:p>
        </w:tc>
        <w:tc>
          <w:tcPr>
            <w:tcW w:w="17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00000">
        <w:trPr>
          <w:trHeight w:val="3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122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Peixes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 outros produtos classificados nos seguintes códigos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 TIPI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03.02 (exceto 0302.90.00),</w:t>
            </w:r>
          </w:p>
          <w:p w:rsidR="00000000" w:rsidRDefault="007E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03.03 e</w:t>
            </w:r>
          </w:p>
          <w:p w:rsidR="00000000" w:rsidRDefault="007E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03.04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08/03/2013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00000">
        <w:trPr>
          <w:trHeight w:val="3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Café classificado nos códigos 09.01 e 2101.1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 TIPI</w:t>
            </w:r>
            <w:proofErr w:type="gramEnd"/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08/03/2013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00000">
        <w:trPr>
          <w:trHeight w:val="3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Açúcar classificado nos códigos 1701.14.00 e 1701.99.00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 TIPI</w:t>
            </w:r>
            <w:proofErr w:type="gramEnd"/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1701.14.00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1701.99.00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08/03/2013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00000">
        <w:trPr>
          <w:trHeight w:val="3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125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Óleo de soja classificado na posição 15.07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 TIPI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 outros óleos vegetais classificados nas posições 15.08 a 15.14 da TIPI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15.07,</w:t>
            </w:r>
          </w:p>
          <w:p w:rsidR="00000000" w:rsidRDefault="007E54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15.08 a 15.14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08/03/2013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00000">
        <w:trPr>
          <w:trHeight w:val="3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126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Manteiga classificada no código 0405.10.00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 TIPI</w:t>
            </w:r>
            <w:proofErr w:type="gramEnd"/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040</w:t>
            </w:r>
            <w:r>
              <w:rPr>
                <w:rFonts w:ascii="Arial" w:hAnsi="Arial" w:cs="Arial"/>
                <w:sz w:val="20"/>
              </w:rPr>
              <w:t>5.10.00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08/03/2013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00000">
        <w:trPr>
          <w:trHeight w:val="3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127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Margarina classificada no código 1517.10.00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1517.10.00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08/03/2013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00000">
        <w:trPr>
          <w:trHeight w:val="3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128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Sabões de toucador classificados no código 3401.11.90 Ex 01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 TIPI</w:t>
            </w:r>
            <w:proofErr w:type="gramEnd"/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08/03/2013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00000">
        <w:trPr>
          <w:trHeight w:val="3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129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Produtos para higiene bucal ou dentária classificados na posição 33.06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 TIPI</w:t>
            </w:r>
            <w:proofErr w:type="gramEnd"/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33.06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08/03/2013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00000">
        <w:trPr>
          <w:trHeight w:val="3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130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Papel higiênico classificado no código 4818.10.00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 TIPI</w:t>
            </w:r>
            <w:proofErr w:type="gramEnd"/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4818.10.00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08/03/2013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00000">
        <w:trPr>
          <w:trHeight w:val="3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00000">
        <w:trPr>
          <w:trHeight w:val="6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200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0000" w:rsidRDefault="007E5478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INFRAESTRUTURA: AERONAVES, EMBARCAÇÕES, OUTROS VEÍCULOS,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COMBUSTÍVES</w:t>
            </w:r>
            <w:proofErr w:type="gramEnd"/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000000">
        <w:trPr>
          <w:trHeight w:val="3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Aeronaves classificadas na posição 88.02 </w:t>
            </w:r>
            <w:proofErr w:type="gramStart"/>
            <w:r>
              <w:rPr>
                <w:rFonts w:ascii="Arial" w:hAnsi="Arial" w:cs="Arial"/>
                <w:sz w:val="20"/>
              </w:rPr>
              <w:t>da TIPI</w:t>
            </w:r>
            <w:proofErr w:type="gramEnd"/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88.02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000000">
        <w:trPr>
          <w:trHeight w:val="15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Partes, peças, ferramentais, componentes, insumos, fluidos hidráulicos, tintas, anticorrosivos, lubrificantes, equipamentos, serviços e matérias-primas a serem empregados na manutenção, conservação, modernização, reparo, revisão, conversão e </w:t>
            </w:r>
            <w:r>
              <w:rPr>
                <w:rFonts w:ascii="Arial" w:hAnsi="Arial" w:cs="Arial"/>
                <w:sz w:val="20"/>
              </w:rPr>
              <w:t xml:space="preserve">industrialização das aeronaves, seus motores, partes, componentes, ferramentais e equipamentos das aeronaves referidas no código </w:t>
            </w:r>
            <w:proofErr w:type="gramStart"/>
            <w:r>
              <w:rPr>
                <w:rFonts w:ascii="Arial" w:hAnsi="Arial" w:cs="Arial"/>
                <w:sz w:val="20"/>
              </w:rPr>
              <w:t>201</w:t>
            </w:r>
            <w:proofErr w:type="gramEnd"/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000000">
        <w:trPr>
          <w:trHeight w:val="3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203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Álcool anidro adicionado à gasolina, por </w:t>
            </w:r>
            <w:proofErr w:type="gramStart"/>
            <w:r>
              <w:rPr>
                <w:rFonts w:ascii="Arial" w:hAnsi="Arial" w:cs="Arial"/>
                <w:sz w:val="20"/>
              </w:rPr>
              <w:t>distribuidores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000000">
        <w:trPr>
          <w:trHeight w:val="6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204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Álcool, inclusive para fins carb</w:t>
            </w:r>
            <w:r>
              <w:rPr>
                <w:rFonts w:ascii="Arial" w:hAnsi="Arial" w:cs="Arial"/>
                <w:sz w:val="20"/>
              </w:rPr>
              <w:t xml:space="preserve">urantes, em operações realizadas em bolsa de mercadorias e futuros, exceto quando ocorra a liquidação física do </w:t>
            </w:r>
            <w:proofErr w:type="gramStart"/>
            <w:r>
              <w:rPr>
                <w:rFonts w:ascii="Arial" w:hAnsi="Arial" w:cs="Arial"/>
                <w:sz w:val="20"/>
              </w:rPr>
              <w:t>contrato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000000">
        <w:trPr>
          <w:trHeight w:val="3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205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Carvão mineral destinado à geração de energia elétrica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000000">
        <w:trPr>
          <w:trHeight w:val="6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206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Biodiesel fabricado a partir de matérias-prim</w:t>
            </w:r>
            <w:r>
              <w:rPr>
                <w:rFonts w:ascii="Arial" w:hAnsi="Arial" w:cs="Arial"/>
                <w:color w:val="000000"/>
                <w:sz w:val="20"/>
              </w:rPr>
              <w:t xml:space="preserve">as produzidas nas regiões norte, nordeste e no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semi-árido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>, por agricultor familiar enquadrado no PRONAF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000000">
        <w:trPr>
          <w:trHeight w:val="6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207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Valores recebidos pelos concessionários de que trata a Lei nº 6.729/1979, pela intermediação ou entrega dos veículos classificados nas </w:t>
            </w:r>
            <w:r>
              <w:rPr>
                <w:rFonts w:ascii="Arial" w:hAnsi="Arial" w:cs="Arial"/>
                <w:sz w:val="20"/>
              </w:rPr>
              <w:t xml:space="preserve">posições 87.03 e 87.04 </w:t>
            </w:r>
            <w:proofErr w:type="gramStart"/>
            <w:r>
              <w:rPr>
                <w:rFonts w:ascii="Arial" w:hAnsi="Arial" w:cs="Arial"/>
                <w:sz w:val="20"/>
              </w:rPr>
              <w:t>da TIPI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, vendidos diretamente ao consumidor final 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000000">
        <w:trPr>
          <w:trHeight w:val="15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208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Veículos novos montados sobre chassis, com capacidade para vinte e três a quarenta e quatro passageiros, classificados no código 8702.10.00 Ex. 02 e 8702.90.90 Ex 02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0"/>
              </w:rPr>
              <w:t>da TIPI</w:t>
            </w:r>
            <w:proofErr w:type="gramEnd"/>
            <w:r>
              <w:rPr>
                <w:rFonts w:ascii="Arial" w:hAnsi="Arial" w:cs="Arial"/>
                <w:sz w:val="20"/>
              </w:rPr>
              <w:t>, destinados ao transporte escolar para a educação básica na zona rural das redes estadual, municipal e distrital, quando adquiridos pelos Estados, Municípios e pelo Distrito Federal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000000">
        <w:trPr>
          <w:trHeight w:val="12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209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Embarcações novas, com capacidade para vinte a </w:t>
            </w:r>
            <w:r>
              <w:rPr>
                <w:rFonts w:ascii="Arial" w:hAnsi="Arial" w:cs="Arial"/>
                <w:sz w:val="20"/>
              </w:rPr>
              <w:t xml:space="preserve">trinta e cinco passageiros, classificadas no código 8901.90.00 </w:t>
            </w:r>
            <w:proofErr w:type="gramStart"/>
            <w:r>
              <w:rPr>
                <w:rFonts w:ascii="Arial" w:hAnsi="Arial" w:cs="Arial"/>
                <w:sz w:val="20"/>
              </w:rPr>
              <w:t>da TIPI</w:t>
            </w:r>
            <w:proofErr w:type="gramEnd"/>
            <w:r>
              <w:rPr>
                <w:rFonts w:ascii="Arial" w:hAnsi="Arial" w:cs="Arial"/>
                <w:sz w:val="20"/>
              </w:rPr>
              <w:t>, destinadas ao transporte escolar para a educação básica na zona rural das redes estadual, municipal e distrital, quando adquiridos pelos Estados, Municípios e pelo Distrito Federal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000000">
        <w:trPr>
          <w:trHeight w:val="9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210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Materiais e equipamentos, inclusive partes, peças e componentes, destinados ao emprego na construção, conservação, modernização, conversão ou reparo de embarcações registradas ou pré-registradas no Registro Especial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Brasileiro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000000">
        <w:trPr>
          <w:trHeight w:val="15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Veículos e carros blindados de combate, novos, armados ou não, e suas partes, produzidos no Brasil, com peso bruto total até 30 (trinta) toneladas, classificados na posição 8710.00.00 </w:t>
            </w:r>
            <w:proofErr w:type="gramStart"/>
            <w:r>
              <w:rPr>
                <w:rFonts w:ascii="Arial" w:hAnsi="Arial" w:cs="Arial"/>
                <w:sz w:val="20"/>
              </w:rPr>
              <w:t>da TIPI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, destinados ao uso das Forças Armadas ou órgãos de segurança </w:t>
            </w:r>
            <w:r>
              <w:rPr>
                <w:rFonts w:ascii="Arial" w:hAnsi="Arial" w:cs="Arial"/>
                <w:sz w:val="20"/>
              </w:rPr>
              <w:t>pública brasileiros, quando adquiridos por órgãos e entidades da administração pública direta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000000">
        <w:trPr>
          <w:trHeight w:val="15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212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Gás natural canalizado, destinado à produção de energia elétrica pelas usinas integrantes do Programa Prioritário de Termoeletricidade, nos termo</w:t>
            </w:r>
            <w:r>
              <w:rPr>
                <w:rFonts w:ascii="Arial" w:hAnsi="Arial" w:cs="Arial"/>
                <w:sz w:val="20"/>
              </w:rPr>
              <w:t xml:space="preserve">s e condições estabelecidos em ato conjunto dos Ministros de Estado de Minas Energia e da </w:t>
            </w:r>
            <w:proofErr w:type="gramStart"/>
            <w:r>
              <w:rPr>
                <w:rFonts w:ascii="Arial" w:hAnsi="Arial" w:cs="Arial"/>
                <w:sz w:val="20"/>
              </w:rPr>
              <w:t>Fazenda</w:t>
            </w:r>
            <w:proofErr w:type="gramEnd"/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00000">
        <w:trPr>
          <w:trHeight w:val="15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213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Serviços de transporte ferroviário em sistema de trens de alta velocidade (TAV), assim entendido como a composição utilizada para efetuar a pr</w:t>
            </w:r>
            <w:r>
              <w:rPr>
                <w:rFonts w:ascii="Arial" w:hAnsi="Arial" w:cs="Arial"/>
                <w:sz w:val="20"/>
              </w:rPr>
              <w:t>estação do serviço público de transporte ferroviário que consiga atingir velocidade igual ou superior a 250 km/h (duzentos e cinquenta quilômetros por hora).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00000">
        <w:trPr>
          <w:trHeight w:val="15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214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Receitas decorrentes da prestação de serviços regulares de transporte coletivo mun</w:t>
            </w:r>
            <w:r>
              <w:rPr>
                <w:rFonts w:ascii="Arial" w:hAnsi="Arial" w:cs="Arial"/>
                <w:sz w:val="20"/>
                <w:szCs w:val="18"/>
              </w:rPr>
              <w:t>icipal rodoviário, metroviário e ferroviário de passageiros, inclusive as decorrentes da prestação dos referidos serviços no território de região metropolitana regularmente constituída.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31/05/2013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000000">
        <w:trPr>
          <w:trHeight w:val="15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215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eceita decorrente da prestação de serviços regular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es de transporte coletivo municipal rodoviário, metroviário, ferroviário 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aquaviário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de passageiros, alcançando as receitas decorrentes da prestação dos referidos serviços:</w:t>
            </w:r>
          </w:p>
          <w:p w:rsidR="00000000" w:rsidRDefault="007E547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território de região metropolitana regularmente constituída; e</w:t>
            </w:r>
          </w:p>
          <w:p w:rsidR="00000000" w:rsidRDefault="007E547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conforme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definid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 nos incisos XI a XIII do art. 4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 Lei n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12.587/2012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14/11/2014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000000">
        <w:trPr>
          <w:trHeight w:val="3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300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0000" w:rsidRDefault="007E5478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SAÚDE: PRODUTOS QUIMICOS, APARELHOS ORTOPÉDICOS, PRODUTOS DESTINADOS A PORTADORES DE NECESSIDADES ESPECIAIS,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OUTROS</w:t>
            </w:r>
            <w:proofErr w:type="gramEnd"/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000000">
        <w:trPr>
          <w:trHeight w:val="3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301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Produtos classificados na posição 87.13 da NCM (cadei</w:t>
            </w:r>
            <w:r>
              <w:rPr>
                <w:rFonts w:ascii="Arial" w:hAnsi="Arial" w:cs="Arial"/>
                <w:sz w:val="20"/>
              </w:rPr>
              <w:t xml:space="preserve">ras de rodas e outros veículos) 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87.13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000000">
        <w:trPr>
          <w:trHeight w:val="6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302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Artigos e aparelhos ortopédicos ou para fraturas classificados no código 90.21.10 da NCM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90.21.10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000000">
        <w:trPr>
          <w:trHeight w:val="3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303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Artigos e aparelhos de próteses classificados no código 90.21.3 da NCM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90.21.3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000000">
        <w:trPr>
          <w:trHeight w:val="3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304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Almofadas antiescaras classificadas nos Capítulos 39, 40, 63 e 94 da </w:t>
            </w:r>
            <w:proofErr w:type="gramStart"/>
            <w:r>
              <w:rPr>
                <w:rFonts w:ascii="Arial" w:hAnsi="Arial" w:cs="Arial"/>
                <w:sz w:val="20"/>
              </w:rPr>
              <w:t>NCM</w:t>
            </w:r>
            <w:proofErr w:type="gramEnd"/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000000">
        <w:trPr>
          <w:trHeight w:val="96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305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Bens relacionados em ato do Poder Executivo para aplicação nas Unidades Modulares de Saúde de que trata o Convênio ICMS n</w:t>
            </w:r>
            <w:r>
              <w:rPr>
                <w:rFonts w:ascii="Arial" w:hAnsi="Arial" w:cs="Arial"/>
                <w:color w:val="000000"/>
                <w:sz w:val="20"/>
                <w:u w:val="single"/>
                <w:vertAlign w:val="superscript"/>
              </w:rPr>
              <w:t>o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114/2009 quando vendidos a órgãos da a</w:t>
            </w:r>
            <w:r>
              <w:rPr>
                <w:rFonts w:ascii="Arial" w:hAnsi="Arial" w:cs="Arial"/>
                <w:color w:val="000000"/>
                <w:sz w:val="20"/>
              </w:rPr>
              <w:t xml:space="preserve">dministração pública direta federal, estadual, distrital e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municipal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000000">
        <w:trPr>
          <w:trHeight w:val="3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306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Produtos químicosclassificados no Capítulo 29 da Nomenclatura Comum do </w:t>
            </w:r>
            <w:proofErr w:type="gramStart"/>
            <w:r>
              <w:rPr>
                <w:rFonts w:ascii="Arial" w:hAnsi="Arial" w:cs="Arial"/>
                <w:sz w:val="20"/>
              </w:rPr>
              <w:t>Mercosul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– NCM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000000">
        <w:trPr>
          <w:trHeight w:val="3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307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Produtos químicos intermediários de síntese, classificados no Capí</w:t>
            </w:r>
            <w:r>
              <w:rPr>
                <w:rFonts w:ascii="Arial" w:hAnsi="Arial" w:cs="Arial"/>
                <w:sz w:val="20"/>
              </w:rPr>
              <w:t xml:space="preserve">tulo 29 da </w:t>
            </w:r>
            <w:proofErr w:type="gramStart"/>
            <w:r>
              <w:rPr>
                <w:rFonts w:ascii="Arial" w:hAnsi="Arial" w:cs="Arial"/>
                <w:sz w:val="20"/>
              </w:rPr>
              <w:t>NCM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000000">
        <w:trPr>
          <w:trHeight w:val="12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308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Produtos destinados ao uso em hospitais, clínicas e consultórios médicos e odontológicos, campanhas de saúde realizadas pelo poder público, laboratório de anatomia patológica, citológica ou de análises clínicas, classificad</w:t>
            </w:r>
            <w:r>
              <w:rPr>
                <w:rFonts w:ascii="Arial" w:hAnsi="Arial" w:cs="Arial"/>
                <w:sz w:val="20"/>
              </w:rPr>
              <w:t xml:space="preserve">os nas posições 30.02, 30.06, 39.26, 40.15 e 90.18, da </w:t>
            </w:r>
            <w:proofErr w:type="gramStart"/>
            <w:r>
              <w:rPr>
                <w:rFonts w:ascii="Arial" w:hAnsi="Arial" w:cs="Arial"/>
                <w:sz w:val="20"/>
              </w:rPr>
              <w:t>NCM</w:t>
            </w:r>
            <w:proofErr w:type="gramEnd"/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000000">
        <w:trPr>
          <w:trHeight w:val="12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309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Produtos classificados nos códigos 8443.32.22, 8469.00.39 Ex 01, 8714.20.00, e 9021.40.00, todos </w:t>
            </w:r>
            <w:proofErr w:type="gramStart"/>
            <w:r>
              <w:rPr>
                <w:rFonts w:ascii="Arial" w:hAnsi="Arial" w:cs="Arial"/>
                <w:sz w:val="20"/>
              </w:rPr>
              <w:t>da TIPI</w:t>
            </w:r>
            <w:proofErr w:type="gramEnd"/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8443.32.22, 8469.00.39 Ex 01, 8714.20.00, e 9021.40.00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18/11/2011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17/05/201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000000">
        <w:trPr>
          <w:trHeight w:val="12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309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Produtos classificados nos códigos 8443.32.22, 8469.00.39 Ex 01, 8714.20.00, 9021.40.00, 9021.90.82 e 9021.90.92, todos </w:t>
            </w:r>
            <w:proofErr w:type="gramStart"/>
            <w:r>
              <w:rPr>
                <w:rFonts w:ascii="Arial" w:hAnsi="Arial" w:cs="Arial"/>
                <w:sz w:val="20"/>
              </w:rPr>
              <w:t>da Tipi</w:t>
            </w:r>
            <w:proofErr w:type="gramEnd"/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8443.32.22, 8469.00.39 Ex 01, 8714.20.00, 9021.40.00, 9021.90.82 e 9021.90.92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18/05/2012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00000">
        <w:trPr>
          <w:trHeight w:val="12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310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Calculadoras equipadas com</w:t>
            </w:r>
            <w:r>
              <w:rPr>
                <w:rFonts w:ascii="Arial" w:hAnsi="Arial" w:cs="Arial"/>
                <w:sz w:val="20"/>
              </w:rPr>
              <w:t xml:space="preserve"> sintetizador de voz classificadas no código 8470.10.00 </w:t>
            </w:r>
            <w:proofErr w:type="gramStart"/>
            <w:r>
              <w:rPr>
                <w:rFonts w:ascii="Arial" w:hAnsi="Arial" w:cs="Arial"/>
                <w:sz w:val="20"/>
              </w:rPr>
              <w:t>da TIPI</w:t>
            </w:r>
            <w:proofErr w:type="gramEnd"/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18/11/2011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17/05/2012</w:t>
            </w:r>
          </w:p>
        </w:tc>
      </w:tr>
      <w:tr w:rsidR="00000000">
        <w:trPr>
          <w:trHeight w:val="12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310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Calculadoras equipadas com sintetizador de voz classificadas no código 8470.10.00 Ex 01 </w:t>
            </w:r>
            <w:proofErr w:type="gramStart"/>
            <w:r>
              <w:rPr>
                <w:rFonts w:ascii="Arial" w:hAnsi="Arial" w:cs="Arial"/>
                <w:sz w:val="20"/>
              </w:rPr>
              <w:t>da TIPI</w:t>
            </w:r>
            <w:proofErr w:type="gramEnd"/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8470.10.00 Ex 01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18/05/2012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00000">
        <w:trPr>
          <w:trHeight w:val="12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311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pStyle w:val="Ttulo2"/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Teclados com colmeia classificado</w:t>
            </w:r>
            <w:r>
              <w:rPr>
                <w:b w:val="0"/>
                <w:bCs w:val="0"/>
              </w:rPr>
              <w:t xml:space="preserve">s no código 8471.60.52 </w:t>
            </w:r>
            <w:proofErr w:type="gramStart"/>
            <w:r>
              <w:rPr>
                <w:b w:val="0"/>
                <w:bCs w:val="0"/>
              </w:rPr>
              <w:t>da TIPI</w:t>
            </w:r>
            <w:proofErr w:type="gramEnd"/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18/11/2011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00000">
        <w:trPr>
          <w:trHeight w:val="12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312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Indicadores ou apontadores - mouses - com entrada para acionador classificados no código 8471.60.53 </w:t>
            </w:r>
            <w:proofErr w:type="gramStart"/>
            <w:r>
              <w:rPr>
                <w:rFonts w:ascii="Arial" w:hAnsi="Arial" w:cs="Arial"/>
                <w:sz w:val="20"/>
              </w:rPr>
              <w:t>da TIPI</w:t>
            </w:r>
            <w:proofErr w:type="gramEnd"/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18/11/2011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00000">
        <w:trPr>
          <w:trHeight w:val="12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313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Linhas braile classificadas no código 8471.60.90 </w:t>
            </w:r>
            <w:proofErr w:type="gramStart"/>
            <w:r>
              <w:rPr>
                <w:rFonts w:ascii="Arial" w:hAnsi="Arial" w:cs="Arial"/>
                <w:sz w:val="20"/>
              </w:rPr>
              <w:t>da TIPI</w:t>
            </w:r>
            <w:proofErr w:type="gramEnd"/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18/11/2011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17/05/201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000000">
        <w:trPr>
          <w:trHeight w:val="12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313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Linhas braile classificadas no código 8471.60.90 Ex 01da TIPI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8471.60.90 Ex01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18/05/2012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00000">
        <w:trPr>
          <w:trHeight w:val="12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314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Digitalizadores de imagens - scanners - equipados com sintetizador de voz classificados no código 8471.90.14 </w:t>
            </w:r>
            <w:proofErr w:type="gramStart"/>
            <w:r>
              <w:rPr>
                <w:rFonts w:ascii="Arial" w:hAnsi="Arial" w:cs="Arial"/>
                <w:sz w:val="20"/>
              </w:rPr>
              <w:t>da TIPI</w:t>
            </w:r>
            <w:proofErr w:type="gramEnd"/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18/11/2011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17/05/2012</w:t>
            </w:r>
          </w:p>
        </w:tc>
      </w:tr>
      <w:tr w:rsidR="00000000">
        <w:trPr>
          <w:trHeight w:val="12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314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Digitali</w:t>
            </w:r>
            <w:r>
              <w:rPr>
                <w:rFonts w:ascii="Arial" w:hAnsi="Arial" w:cs="Arial"/>
                <w:sz w:val="20"/>
              </w:rPr>
              <w:t>zadores de imagens - scanners - equipados com sintetizador de voz classificados no código 8471.90.14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</w:rPr>
              <w:t>Ex 01 da TIPI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8471.90.14 Ex.01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18/05/2012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00000">
        <w:trPr>
          <w:trHeight w:val="12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315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Duplicadores braile classificados no código 8472.10.00 </w:t>
            </w:r>
            <w:proofErr w:type="gramStart"/>
            <w:r>
              <w:rPr>
                <w:rFonts w:ascii="Arial" w:hAnsi="Arial" w:cs="Arial"/>
                <w:sz w:val="20"/>
              </w:rPr>
              <w:t>da TIPI</w:t>
            </w:r>
            <w:proofErr w:type="gramEnd"/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18/11/2011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17/05/2012</w:t>
            </w:r>
          </w:p>
        </w:tc>
      </w:tr>
      <w:tr w:rsidR="00000000">
        <w:trPr>
          <w:trHeight w:val="12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315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Duplicadores b</w:t>
            </w:r>
            <w:r>
              <w:rPr>
                <w:rFonts w:ascii="Arial" w:hAnsi="Arial" w:cs="Arial"/>
                <w:sz w:val="20"/>
              </w:rPr>
              <w:t xml:space="preserve">raile classificados no código 8472.10.00 Ex 01 </w:t>
            </w:r>
            <w:proofErr w:type="gramStart"/>
            <w:r>
              <w:rPr>
                <w:rFonts w:ascii="Arial" w:hAnsi="Arial" w:cs="Arial"/>
                <w:sz w:val="20"/>
              </w:rPr>
              <w:t>da TIPI</w:t>
            </w:r>
            <w:proofErr w:type="gramEnd"/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8472.10.00 Ex.01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18/05/2012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00000">
        <w:trPr>
          <w:trHeight w:val="12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316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Acionadores de pressão classificados no código 8471.60.53 </w:t>
            </w:r>
            <w:proofErr w:type="gramStart"/>
            <w:r>
              <w:rPr>
                <w:rFonts w:ascii="Arial" w:hAnsi="Arial" w:cs="Arial"/>
                <w:sz w:val="20"/>
              </w:rPr>
              <w:t>da TIPI</w:t>
            </w:r>
            <w:proofErr w:type="gramEnd"/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18/11/2011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17/05/2012</w:t>
            </w:r>
          </w:p>
        </w:tc>
      </w:tr>
      <w:tr w:rsidR="00000000">
        <w:trPr>
          <w:trHeight w:val="12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316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Acionadores de pressão classificados no código 8471.60.53 Ex.02 </w:t>
            </w:r>
            <w:proofErr w:type="gramStart"/>
            <w:r>
              <w:rPr>
                <w:rFonts w:ascii="Arial" w:hAnsi="Arial" w:cs="Arial"/>
                <w:sz w:val="20"/>
              </w:rPr>
              <w:t>da TIPI</w:t>
            </w:r>
            <w:proofErr w:type="gramEnd"/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8471.60.53 Ex.02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18/05/2012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00000">
        <w:trPr>
          <w:trHeight w:val="12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317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Lupas eletrônicas do tipo utilizado por pessoas com deficiência visual classificadas no código 8525.80.19 </w:t>
            </w:r>
            <w:proofErr w:type="gramStart"/>
            <w:r>
              <w:rPr>
                <w:rFonts w:ascii="Arial" w:hAnsi="Arial" w:cs="Arial"/>
                <w:sz w:val="20"/>
              </w:rPr>
              <w:t>da TIPI</w:t>
            </w:r>
            <w:proofErr w:type="gramEnd"/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18/11/2011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17/05/2012</w:t>
            </w:r>
          </w:p>
        </w:tc>
      </w:tr>
      <w:tr w:rsidR="00000000">
        <w:trPr>
          <w:trHeight w:val="12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317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Lupas eletrônicas do tipo utilizado por pessoas com deficiência visual classifi</w:t>
            </w:r>
            <w:r>
              <w:rPr>
                <w:rFonts w:ascii="Arial" w:hAnsi="Arial" w:cs="Arial"/>
                <w:sz w:val="20"/>
              </w:rPr>
              <w:t xml:space="preserve">cadas no código 8525.80.19 Ex 01 </w:t>
            </w:r>
            <w:proofErr w:type="gramStart"/>
            <w:r>
              <w:rPr>
                <w:rFonts w:ascii="Arial" w:hAnsi="Arial" w:cs="Arial"/>
                <w:sz w:val="20"/>
              </w:rPr>
              <w:t>da TIPI</w:t>
            </w:r>
            <w:proofErr w:type="gramEnd"/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8525.80.19 Ex01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18/05/2012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00000">
        <w:trPr>
          <w:trHeight w:val="12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318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Implantes cocleares classificados no código 9021.90.19 </w:t>
            </w:r>
            <w:proofErr w:type="gramStart"/>
            <w:r>
              <w:rPr>
                <w:rFonts w:ascii="Arial" w:hAnsi="Arial" w:cs="Arial"/>
                <w:sz w:val="20"/>
              </w:rPr>
              <w:t>da TIPI</w:t>
            </w:r>
            <w:proofErr w:type="gramEnd"/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18/11/2011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17/05/2012</w:t>
            </w:r>
          </w:p>
        </w:tc>
      </w:tr>
      <w:tr w:rsidR="00000000">
        <w:trPr>
          <w:trHeight w:val="12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318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Implantes cocleares classificados no código 9021.40.00 </w:t>
            </w:r>
            <w:proofErr w:type="gramStart"/>
            <w:r>
              <w:rPr>
                <w:rFonts w:ascii="Arial" w:hAnsi="Arial" w:cs="Arial"/>
                <w:sz w:val="20"/>
              </w:rPr>
              <w:t>da TIPI</w:t>
            </w:r>
            <w:proofErr w:type="gramEnd"/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18/05/2012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00000">
        <w:trPr>
          <w:trHeight w:val="12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319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Próteses</w:t>
            </w:r>
            <w:r>
              <w:rPr>
                <w:rFonts w:ascii="Arial" w:hAnsi="Arial" w:cs="Arial"/>
                <w:sz w:val="20"/>
              </w:rPr>
              <w:t xml:space="preserve"> oculares classificadas no código 9021.90.89 </w:t>
            </w:r>
            <w:proofErr w:type="gramStart"/>
            <w:r>
              <w:rPr>
                <w:rFonts w:ascii="Arial" w:hAnsi="Arial" w:cs="Arial"/>
                <w:sz w:val="20"/>
              </w:rPr>
              <w:t>da TIPI</w:t>
            </w:r>
            <w:proofErr w:type="gramEnd"/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18/11/2011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17/05/2012</w:t>
            </w:r>
          </w:p>
        </w:tc>
      </w:tr>
      <w:tr w:rsidR="00000000">
        <w:trPr>
          <w:trHeight w:val="12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319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Próteses oculares classificadas no código 9021.39.80 </w:t>
            </w:r>
            <w:proofErr w:type="gramStart"/>
            <w:r>
              <w:rPr>
                <w:rFonts w:ascii="Arial" w:hAnsi="Arial" w:cs="Arial"/>
                <w:sz w:val="20"/>
              </w:rPr>
              <w:t>da TIPI</w:t>
            </w:r>
            <w:proofErr w:type="gramEnd"/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18/05/2012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00000">
        <w:trPr>
          <w:trHeight w:val="12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320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Programas - softwares - de leitores de tela que convertem texto em voz sintetizada para auxíli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 de pessoas com deficiência visual.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18/05/2012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00000">
        <w:trPr>
          <w:trHeight w:val="12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321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Aparelhos contendo programas - softwares - de leitores de tela que convertem texto em caracteres braile, para utilização de surdos-cegos.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18/05/2012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00000">
        <w:trPr>
          <w:trHeight w:val="12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322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Neuroestimuladores para tremor essencial/Pa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rkinson, classificados no código 9021.90.19, e seus acessórios, classificados nos códigos 9018.90.99, 9021.90.91 e 9021.90.99, todos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 Tipi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18/05/2012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00000">
        <w:trPr>
          <w:trHeight w:val="12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323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Equipamentos ou materiais destinados a uso médico, hospitalar, clínico ou laboratorial, conform</w:t>
            </w:r>
            <w:r>
              <w:rPr>
                <w:rFonts w:ascii="Arial" w:hAnsi="Arial" w:cs="Arial"/>
                <w:sz w:val="20"/>
                <w:szCs w:val="20"/>
              </w:rPr>
              <w:t>e ato editado pelo Poder Executivo, quando adquiridos: </w:t>
            </w:r>
          </w:p>
          <w:p w:rsidR="00000000" w:rsidRDefault="007E5478">
            <w:pPr>
              <w:pStyle w:val="texto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- pela União, Estados, Distrito Federal ou Municípios, bem como pelas suas autarquias e fundações instituídas e mantidas pelo poder público;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ou</w:t>
            </w:r>
            <w:proofErr w:type="gramEnd"/>
          </w:p>
          <w:p w:rsidR="00000000" w:rsidRDefault="007E5478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 - por entidades beneficentes de assistência social </w:t>
            </w:r>
            <w:r>
              <w:rPr>
                <w:rFonts w:ascii="Arial" w:hAnsi="Arial" w:cs="Arial"/>
                <w:sz w:val="20"/>
                <w:szCs w:val="20"/>
              </w:rPr>
              <w:t xml:space="preserve">que atendam ao disposto na Lei nº 12.101/2009. 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14/11/2014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00000">
        <w:trPr>
          <w:trHeight w:val="3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400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0000" w:rsidRDefault="007E5478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INFORMÁTICA E REGIMES ESPECIAIS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000000">
        <w:trPr>
          <w:trHeight w:val="9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401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Venda a varejo de unidades de processamento digital classificadas no código 8471.50.10 </w:t>
            </w:r>
            <w:proofErr w:type="gramStart"/>
            <w:r>
              <w:rPr>
                <w:rFonts w:ascii="Arial" w:hAnsi="Arial" w:cs="Arial"/>
                <w:sz w:val="20"/>
              </w:rPr>
              <w:t>da TIPI</w:t>
            </w:r>
            <w:proofErr w:type="gramEnd"/>
            <w:r>
              <w:rPr>
                <w:rFonts w:ascii="Arial" w:hAnsi="Arial" w:cs="Arial"/>
                <w:sz w:val="20"/>
              </w:rPr>
              <w:t>, desde que o preço de venda de cada unidade não exced</w:t>
            </w:r>
            <w:r>
              <w:rPr>
                <w:rFonts w:ascii="Arial" w:hAnsi="Arial" w:cs="Arial"/>
                <w:sz w:val="20"/>
              </w:rPr>
              <w:t>a a R$ 2.000,00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17/09/2012</w:t>
            </w:r>
          </w:p>
        </w:tc>
      </w:tr>
      <w:tr w:rsidR="00000000">
        <w:trPr>
          <w:trHeight w:val="9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401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Venda a varejo de unidades de processamento digital classificadas no código 8471.50.10 da Tabela de Incidência do IPI - TIPI, desde que o preço de venda de cada unidade não exceda a R$ 2.000,00, produzidas no País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conforme processo produtivo básico estabelecido pelo Poder Executivo.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18/09/2012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30/11/2015</w:t>
            </w:r>
          </w:p>
        </w:tc>
      </w:tr>
      <w:tr w:rsidR="00000000">
        <w:trPr>
          <w:trHeight w:val="156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402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Venda a varejo de máquinas automáticas para processamento de dados, digitais, portáteis, de peso inferior a 3,5Kg (três quilos e meio), com tela (écran) de ár</w:t>
            </w:r>
            <w:r>
              <w:rPr>
                <w:rFonts w:ascii="Arial" w:hAnsi="Arial" w:cs="Arial"/>
                <w:sz w:val="20"/>
              </w:rPr>
              <w:t>ea superior a 140cm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 (cento e quarenta centímetros quadrados), classificadas nos códigos 8471.30.12, 8471.30.19 ou 8471.30.90 </w:t>
            </w:r>
            <w:proofErr w:type="gramStart"/>
            <w:r>
              <w:rPr>
                <w:rFonts w:ascii="Arial" w:hAnsi="Arial" w:cs="Arial"/>
                <w:sz w:val="20"/>
              </w:rPr>
              <w:t>da TIPI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, desde que o preço de venda de cada máquina não exceda a R$ 4.000,00 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17/09/2012</w:t>
            </w:r>
          </w:p>
        </w:tc>
      </w:tr>
      <w:tr w:rsidR="00000000">
        <w:trPr>
          <w:trHeight w:val="156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402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Venda a varejo de máquinas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 automáticas para processamento de dados, digitais, portáteis, de peso inferior a 3,5Kg (três quilos e meio), com tela (écran) de área superior 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140cm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² (cento e quarenta centímetros quadrados), classificadas nos códigos 8471.30.12, 8471.30.19 ou 8471.30.9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0 da Tipi, desde que o preço de venda de cada máquina não exceda a R$ 4.000,00, produzidas no País conforme processo produtivo básico estabelecido pelo Poder Executivo.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18/09/2012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30/11/2015</w:t>
            </w:r>
          </w:p>
        </w:tc>
      </w:tr>
      <w:tr w:rsidR="00000000">
        <w:trPr>
          <w:trHeight w:val="21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403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Venda a varejo de máquinas automáticas de processamento de </w:t>
            </w:r>
            <w:r>
              <w:rPr>
                <w:rFonts w:ascii="Arial" w:hAnsi="Arial" w:cs="Arial"/>
                <w:sz w:val="20"/>
              </w:rPr>
              <w:t xml:space="preserve">dados, apresentadas sob a forma de sistemas, do código 8471.49 </w:t>
            </w:r>
            <w:proofErr w:type="gramStart"/>
            <w:r>
              <w:rPr>
                <w:rFonts w:ascii="Arial" w:hAnsi="Arial" w:cs="Arial"/>
                <w:sz w:val="20"/>
              </w:rPr>
              <w:t>da TIPI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, contendo exclusivamente 1 (uma) unidade de processamento digital, 1 (uma) unidade de saída por vídeo (monitor), 1 (um) teclado (unidade de entrada), 1 (um) mouse (unidade de entrada), </w:t>
            </w:r>
            <w:r>
              <w:rPr>
                <w:rFonts w:ascii="Arial" w:hAnsi="Arial" w:cs="Arial"/>
                <w:sz w:val="20"/>
              </w:rPr>
              <w:t>classificados, respectivamente, nos códigos 8471.50.10, 8471.60.7, 8471.60.52 e 8471.60.53 da TIPI, desde que o preço de venda de cada sistema não exceda a R$ 4.000,00 (dois mil e quinhentos reais)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17/09/2012</w:t>
            </w:r>
          </w:p>
        </w:tc>
      </w:tr>
      <w:tr w:rsidR="00000000">
        <w:trPr>
          <w:trHeight w:val="21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403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</w:rPr>
              <w:t xml:space="preserve">Venda a varejo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de máquinas autom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 xml:space="preserve">áticas de processamento de dados, apresentadas sob a forma de sistemas, do código 8471.49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da Tipi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, contendo exclusivamente 1 (uma) unidade de processamento digital, 1 (uma) unidade de saída por vídeo (monitor), 1 (um) teclado (unidade de entrada), 1 (um) m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ouse (unidade de entrada), classificados, respectivamente, nos códigos 8471.50.10, 8471.60.7, 8471.60.52 e 8471.60.53 da Tipi, desde que o preço de venda de cada sistema não exceda a R$ 4.000,00 (dois mil e quinhentos reais), produzidas no País conforme pr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ocesso produtivo básico estabelecido pelo Poder Executivo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18/09/2012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30/11/2015</w:t>
            </w:r>
          </w:p>
        </w:tc>
      </w:tr>
      <w:tr w:rsidR="00000000">
        <w:trPr>
          <w:trHeight w:val="15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404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Venda a varejo de teclado (unidade de entrada) e de mouse (unidade de entrada) classificados, respectivamente, nos códigos 8471.60.52 e 8471.60.53 </w:t>
            </w:r>
            <w:proofErr w:type="gramStart"/>
            <w:r>
              <w:rPr>
                <w:rFonts w:ascii="Arial" w:hAnsi="Arial" w:cs="Arial"/>
                <w:sz w:val="20"/>
              </w:rPr>
              <w:t>da TIPI</w:t>
            </w:r>
            <w:proofErr w:type="gramEnd"/>
            <w:r>
              <w:rPr>
                <w:rFonts w:ascii="Arial" w:hAnsi="Arial" w:cs="Arial"/>
                <w:sz w:val="20"/>
              </w:rPr>
              <w:t>, quando acompan</w:t>
            </w:r>
            <w:r>
              <w:rPr>
                <w:rFonts w:ascii="Arial" w:hAnsi="Arial" w:cs="Arial"/>
                <w:sz w:val="20"/>
              </w:rPr>
              <w:t xml:space="preserve">harem a unidade de processamento digital classificada no código 8471.50.10 da TIPI, desde que o preço de venda de cada conjunto não exceda a R$ 2.100,00 (dois mil e cem reais). 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30/11/2015</w:t>
            </w:r>
          </w:p>
        </w:tc>
      </w:tr>
      <w:tr w:rsidR="00000000">
        <w:trPr>
          <w:trHeight w:val="6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405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PADIS - Programa de Apoio ao Desenvolvimento Tecnoló</w:t>
            </w:r>
            <w:r>
              <w:rPr>
                <w:rFonts w:ascii="Arial" w:hAnsi="Arial" w:cs="Arial"/>
                <w:sz w:val="20"/>
              </w:rPr>
              <w:t>gico da Indústria de Semicondutores</w:t>
            </w:r>
          </w:p>
          <w:p w:rsidR="00000000" w:rsidRDefault="007E547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Venda, no mercado interno para PJ habilitada no PADIS, de máquinas, aparelhos, instrumentos, equipamentos, para incorporação ao ativo imobilizado da </w:t>
            </w:r>
            <w:proofErr w:type="gramStart"/>
            <w:r>
              <w:rPr>
                <w:rFonts w:ascii="Arial" w:hAnsi="Arial" w:cs="Arial"/>
                <w:sz w:val="20"/>
              </w:rPr>
              <w:t>adquirente</w:t>
            </w:r>
            <w:proofErr w:type="gramEnd"/>
          </w:p>
          <w:p w:rsidR="00000000" w:rsidRDefault="007E547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Venda, no mercado interno para PJ habilitada no PADIS, d</w:t>
            </w:r>
            <w:r>
              <w:rPr>
                <w:rFonts w:ascii="Arial" w:hAnsi="Arial" w:cs="Arial"/>
                <w:sz w:val="20"/>
              </w:rPr>
              <w:t xml:space="preserve">e ferramentas </w:t>
            </w:r>
            <w:r>
              <w:rPr>
                <w:rFonts w:ascii="Arial" w:hAnsi="Arial" w:cs="Arial"/>
                <w:sz w:val="20"/>
              </w:rPr>
              <w:lastRenderedPageBreak/>
              <w:t>computacionais (</w:t>
            </w:r>
            <w:r>
              <w:rPr>
                <w:rFonts w:ascii="Arial" w:hAnsi="Arial" w:cs="Arial"/>
                <w:i/>
                <w:iCs/>
                <w:sz w:val="20"/>
              </w:rPr>
              <w:t>softwares</w:t>
            </w:r>
            <w:proofErr w:type="gramStart"/>
            <w:r>
              <w:rPr>
                <w:rFonts w:ascii="Arial" w:hAnsi="Arial" w:cs="Arial"/>
                <w:sz w:val="20"/>
              </w:rPr>
              <w:t>)</w:t>
            </w:r>
            <w:proofErr w:type="gramEnd"/>
          </w:p>
          <w:p w:rsidR="00000000" w:rsidRDefault="007E5478">
            <w:pPr>
              <w:jc w:val="both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- Venda, no mercado interno para PJ habilitada no PADIS, de </w:t>
            </w:r>
            <w:proofErr w:type="gramStart"/>
            <w:r>
              <w:rPr>
                <w:rFonts w:ascii="Arial" w:eastAsia="Arial Unicode MS" w:hAnsi="Arial" w:cs="Arial"/>
                <w:sz w:val="20"/>
              </w:rPr>
              <w:t>insumos</w:t>
            </w:r>
            <w:proofErr w:type="gramEnd"/>
          </w:p>
          <w:p w:rsidR="00000000" w:rsidRDefault="007E5478">
            <w:pPr>
              <w:jc w:val="both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- Vendas dos dispositivos eletrônicos semicondutores e mostradores de informação (</w:t>
            </w:r>
            <w:r>
              <w:rPr>
                <w:rFonts w:ascii="Arial" w:eastAsia="Arial Unicode MS" w:hAnsi="Arial" w:cs="Arial"/>
                <w:i/>
                <w:iCs/>
                <w:sz w:val="20"/>
              </w:rPr>
              <w:t>displays</w:t>
            </w:r>
            <w:r>
              <w:rPr>
                <w:rFonts w:ascii="Arial" w:eastAsia="Arial Unicode MS" w:hAnsi="Arial" w:cs="Arial"/>
                <w:sz w:val="20"/>
              </w:rPr>
              <w:t xml:space="preserve">) por PJ habilitada no PADIS </w:t>
            </w:r>
          </w:p>
          <w:p w:rsidR="00000000" w:rsidRDefault="007E5478">
            <w:pPr>
              <w:jc w:val="both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- Venda de projeto (</w:t>
            </w:r>
            <w:r>
              <w:rPr>
                <w:rFonts w:ascii="Arial" w:eastAsia="Arial Unicode MS" w:hAnsi="Arial" w:cs="Arial"/>
                <w:i/>
                <w:iCs/>
                <w:sz w:val="20"/>
              </w:rPr>
              <w:t>design</w:t>
            </w:r>
            <w:r>
              <w:rPr>
                <w:rFonts w:ascii="Arial" w:eastAsia="Arial Unicode MS" w:hAnsi="Arial" w:cs="Arial"/>
                <w:sz w:val="20"/>
              </w:rPr>
              <w:t>)</w:t>
            </w:r>
            <w:r>
              <w:rPr>
                <w:rFonts w:ascii="Arial" w:eastAsia="Arial Unicode MS" w:hAnsi="Arial" w:cs="Arial"/>
                <w:sz w:val="20"/>
              </w:rPr>
              <w:t xml:space="preserve">, por PJ habilitada no </w:t>
            </w:r>
            <w:proofErr w:type="gramStart"/>
            <w:r>
              <w:rPr>
                <w:rFonts w:ascii="Arial" w:eastAsia="Arial Unicode MS" w:hAnsi="Arial" w:cs="Arial"/>
                <w:sz w:val="20"/>
              </w:rPr>
              <w:t>PADIS</w:t>
            </w:r>
            <w:proofErr w:type="gramEnd"/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lastRenderedPageBreak/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000000">
        <w:trPr>
          <w:trHeight w:val="9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406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PATVD - Programa de Apoio ao Desenvolvimento Tecnológico da Indústria de Equipamentos para a TV Digital</w:t>
            </w:r>
          </w:p>
          <w:p w:rsidR="00000000" w:rsidRDefault="007E5478">
            <w:pPr>
              <w:pStyle w:val="Corpodetexto"/>
              <w:jc w:val="both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- Venda, no mercado interno para PJ habilitada no PATVD, de máquinas, aparelhos, instrumentos, equipamento</w:t>
            </w:r>
            <w:r>
              <w:rPr>
                <w:rFonts w:eastAsia="Arial Unicode MS"/>
                <w:szCs w:val="24"/>
              </w:rPr>
              <w:t xml:space="preserve">s, para incorporação ao ativo imobilizado da </w:t>
            </w:r>
            <w:proofErr w:type="gramStart"/>
            <w:r>
              <w:rPr>
                <w:rFonts w:eastAsia="Arial Unicode MS"/>
                <w:szCs w:val="24"/>
              </w:rPr>
              <w:t>adquirente</w:t>
            </w:r>
            <w:proofErr w:type="gramEnd"/>
          </w:p>
          <w:p w:rsidR="00000000" w:rsidRDefault="007E5478">
            <w:pPr>
              <w:jc w:val="both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- Venda, no mercado interno para PJ habilitada no PATVD, de ferramentas computacionais (</w:t>
            </w:r>
            <w:r>
              <w:rPr>
                <w:rFonts w:ascii="Arial" w:eastAsia="Arial Unicode MS" w:hAnsi="Arial" w:cs="Arial"/>
                <w:i/>
                <w:iCs/>
                <w:sz w:val="20"/>
              </w:rPr>
              <w:t>softwares</w:t>
            </w:r>
            <w:proofErr w:type="gramStart"/>
            <w:r>
              <w:rPr>
                <w:rFonts w:ascii="Arial" w:eastAsia="Arial Unicode MS" w:hAnsi="Arial" w:cs="Arial"/>
                <w:sz w:val="20"/>
              </w:rPr>
              <w:t>)</w:t>
            </w:r>
            <w:proofErr w:type="gramEnd"/>
          </w:p>
          <w:p w:rsidR="00000000" w:rsidRDefault="007E5478">
            <w:pPr>
              <w:jc w:val="both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- Venda, no mercado interno para PJ habilitada no PATVD, de </w:t>
            </w:r>
            <w:proofErr w:type="gramStart"/>
            <w:r>
              <w:rPr>
                <w:rFonts w:ascii="Arial" w:eastAsia="Arial Unicode MS" w:hAnsi="Arial" w:cs="Arial"/>
                <w:sz w:val="20"/>
              </w:rPr>
              <w:t>insumos</w:t>
            </w:r>
            <w:proofErr w:type="gramEnd"/>
          </w:p>
          <w:p w:rsidR="00000000" w:rsidRDefault="007E5478">
            <w:pPr>
              <w:jc w:val="both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- Vendas dos equipamentos transmi</w:t>
            </w:r>
            <w:r>
              <w:rPr>
                <w:rFonts w:ascii="Arial" w:eastAsia="Arial Unicode MS" w:hAnsi="Arial" w:cs="Arial"/>
                <w:sz w:val="20"/>
              </w:rPr>
              <w:t>ssores por PJ habilitada no PATVD</w:t>
            </w:r>
            <w:proofErr w:type="gramStart"/>
            <w:r>
              <w:rPr>
                <w:rFonts w:ascii="Arial" w:eastAsia="Arial Unicode MS" w:hAnsi="Arial" w:cs="Arial"/>
                <w:sz w:val="20"/>
              </w:rPr>
              <w:t xml:space="preserve">  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proofErr w:type="gramEnd"/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000000">
        <w:trPr>
          <w:trHeight w:val="9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407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Venda a varejo de máquinas automáticas de processamento de dados, portáteis, sem teclado, que tenham uma unidade central de processamento com entrada e saída de dados por meio de uma tela sensível ao toq</w:t>
            </w:r>
            <w:r>
              <w:rPr>
                <w:rFonts w:ascii="Arial" w:hAnsi="Arial" w:cs="Arial"/>
                <w:sz w:val="20"/>
                <w:szCs w:val="20"/>
              </w:rPr>
              <w:t>ue de área superior a 140 cm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>e inferior a 600 cm</w:t>
            </w:r>
            <w:r>
              <w:rPr>
                <w:rFonts w:ascii="Arial" w:hAnsi="Arial" w:cs="Arial"/>
                <w:sz w:val="20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18"/>
              </w:rPr>
              <w:t xml:space="preserve">, e que não possuam função de comando remoto </w:t>
            </w:r>
            <w:r>
              <w:rPr>
                <w:rFonts w:ascii="Arial" w:hAnsi="Arial" w:cs="Arial"/>
                <w:sz w:val="20"/>
                <w:szCs w:val="20"/>
              </w:rPr>
              <w:t xml:space="preserve">(Tablet PC), classificadas na subposição 8471.41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da Tipi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produzidas no País conforme processo produtivo básico estabelecido pelo Poder Executivo, desde que o pr</w:t>
            </w:r>
            <w:r>
              <w:rPr>
                <w:rFonts w:ascii="Arial" w:hAnsi="Arial" w:cs="Arial"/>
                <w:sz w:val="20"/>
                <w:szCs w:val="20"/>
              </w:rPr>
              <w:t>eço de venda não exceda R$ 2.500,00 (dois mil e quinhentos reais).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03/04/2012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30/11/2015</w:t>
            </w:r>
          </w:p>
        </w:tc>
      </w:tr>
      <w:tr w:rsidR="00000000">
        <w:trPr>
          <w:trHeight w:val="9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408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Venda, a varejo de modems, classificados nas posições 8517.62.55, 8517.62.62 ou 8517.62.72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da TIPI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desde que o preço de venda não exceda R$ 150,00 (cento e cin</w:t>
            </w:r>
            <w:r>
              <w:rPr>
                <w:rFonts w:ascii="Arial" w:hAnsi="Arial" w:cs="Arial"/>
                <w:sz w:val="20"/>
                <w:szCs w:val="20"/>
              </w:rPr>
              <w:t>quenta reais).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03/04/2012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08/04/2013</w:t>
            </w:r>
          </w:p>
        </w:tc>
      </w:tr>
      <w:tr w:rsidR="00000000">
        <w:trPr>
          <w:trHeight w:val="9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408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Venda, a varejo de modems, classificados nas posições 8517.62.55, 8517.62.62 ou 8517.62.72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da TIPI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desde que o preço de venda não exceda R$ 200,00 (duzentos reais).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09/04/2013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30/11/2015</w:t>
            </w:r>
          </w:p>
        </w:tc>
      </w:tr>
      <w:tr w:rsidR="00000000">
        <w:trPr>
          <w:trHeight w:val="9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409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Venda a varejo de</w:t>
            </w:r>
            <w:r>
              <w:rPr>
                <w:rFonts w:ascii="Arial" w:hAnsi="Arial" w:cs="Arial"/>
                <w:sz w:val="20"/>
                <w:szCs w:val="20"/>
              </w:rPr>
              <w:t xml:space="preserve"> telefones portáteis de redes celulares que possibilitem o acesso à internet em alta velocidade do tipo smartphone classificados na posição 8517.12.31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da Tipi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produzidos no País conforme processo produtivo básico estabelecido pelo Poder Executivo.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18/09/</w:t>
            </w:r>
            <w:r>
              <w:rPr>
                <w:rFonts w:ascii="Arial" w:hAnsi="Arial" w:cs="Arial"/>
                <w:sz w:val="20"/>
              </w:rPr>
              <w:t>2012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08/04/2013</w:t>
            </w:r>
          </w:p>
        </w:tc>
      </w:tr>
      <w:tr w:rsidR="00000000">
        <w:trPr>
          <w:trHeight w:val="9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409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Venda a varejo de telefones portáteis de redes celulares que possibilitem o acesso à Internet em alta velocidade do tipo smartphone classificados na posição 8517.12.31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 TIPI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produzidos no País conforme processo produtivo básico,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que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obedeçam aos requisitos técnicos constantes de ato do Ministro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Estado das Comunicações, cujo valor de venda, a varejo,</w:t>
            </w:r>
            <w:r>
              <w:rPr>
                <w:rFonts w:ascii="Arial" w:hAnsi="Arial" w:cs="Arial"/>
                <w:sz w:val="20"/>
              </w:rPr>
              <w:t xml:space="preserve"> não exceda a R$ 1.500,00 (mil e quinhentos reais).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09/04/2013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30/11/2015</w:t>
            </w:r>
          </w:p>
        </w:tc>
      </w:tr>
      <w:tr w:rsidR="00000000">
        <w:trPr>
          <w:trHeight w:val="9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410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Venda a varejo de equipamentos terminais de clientes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(roteadores digitais) classificados nas posições 8517.62.41 e 8517.62.77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 Tipi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desenvolvidos no País conforme processo produtivo básico estabelecido pelo Poder Executivo.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 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18/09/2012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08/04/2013</w:t>
            </w:r>
          </w:p>
        </w:tc>
      </w:tr>
      <w:tr w:rsidR="00000000">
        <w:trPr>
          <w:trHeight w:val="9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410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Venda a varejo de equipamentos terminais de clientes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(roteadores digitais) classificados nas posições 8517.62.41 e 8517.62.77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 TIPI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desenvolvidos e produzidos no País conforme processo produtivo básico cujo valor de venda, a varejo,</w:t>
            </w:r>
            <w:r>
              <w:rPr>
                <w:rFonts w:ascii="Arial" w:hAnsi="Arial" w:cs="Arial"/>
                <w:sz w:val="20"/>
              </w:rPr>
              <w:t xml:space="preserve"> não exceda a R$ 150,00 (cento e cinquenta reais).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09/04/2013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30/11/2015</w:t>
            </w:r>
          </w:p>
        </w:tc>
      </w:tr>
      <w:tr w:rsidR="00000000">
        <w:trPr>
          <w:trHeight w:val="9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411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Venda dos produtos relacionados nos códigos 401, 402, 403, 404, 407, 408, 409 e 410 desta tabela, a pessoas jurídicas de direito privado ou por órgãos e entidades da Administração Pública Federal, Estadual ou Municipal e do Distrito Federal, direta o</w:t>
            </w:r>
            <w:r>
              <w:rPr>
                <w:rFonts w:ascii="Arial" w:hAnsi="Arial" w:cs="Arial"/>
                <w:sz w:val="20"/>
                <w:szCs w:val="20"/>
              </w:rPr>
              <w:t>u indireta, às fundações instituídas e mantidas pelo Poder Público e às demais organizações sob o controle direto ou indireto da União, dos Estados, dos Municípios ou do Distrito Federal.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30/11/2015</w:t>
            </w:r>
          </w:p>
        </w:tc>
      </w:tr>
      <w:tr w:rsidR="00000000">
        <w:trPr>
          <w:trHeight w:val="9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412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Venda dos produtos relacionados nos códigos</w:t>
            </w:r>
            <w:r>
              <w:rPr>
                <w:rFonts w:ascii="Arial" w:hAnsi="Arial" w:cs="Arial"/>
                <w:sz w:val="20"/>
                <w:szCs w:val="20"/>
              </w:rPr>
              <w:t xml:space="preserve"> 401, 402, 403, 404, 407, 408, 409 e 410 desta tabela, a sociedades de arrendamento mercantil leasing.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30/11/2015</w:t>
            </w:r>
          </w:p>
        </w:tc>
      </w:tr>
      <w:tr w:rsidR="00000000">
        <w:trPr>
          <w:trHeight w:val="9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413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Receita decorrente da venda de bens de defesa nacional definidos em ato do Poder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Executivo efetuada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por pessoa jurídica benefici</w:t>
            </w:r>
            <w:r>
              <w:rPr>
                <w:rFonts w:ascii="Arial" w:hAnsi="Arial" w:cs="Arial"/>
                <w:sz w:val="20"/>
                <w:szCs w:val="20"/>
              </w:rPr>
              <w:t>ária do RETID à União, para uso privativo das Forças Armadas, exceto para uso pessoal e administrativo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21/09/2012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00000">
        <w:trPr>
          <w:trHeight w:val="9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414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Receita decorrente da prestação de serviços de tecnologia industrial básica, projetos, pesquisa, desenvolvimento e inovação tecnológica</w:t>
            </w:r>
            <w:r>
              <w:rPr>
                <w:rFonts w:ascii="Arial" w:hAnsi="Arial" w:cs="Arial"/>
                <w:sz w:val="20"/>
                <w:szCs w:val="20"/>
              </w:rPr>
              <w:t xml:space="preserve">, assistência técnica e transferência de tecnologia por pessoa jurídica beneficiária do RETID à União, para uso privativo das Forças Armadas, exceto para uso pessoal 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administrativo</w:t>
            </w:r>
            <w:proofErr w:type="gramEnd"/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21/09/2012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00000">
        <w:trPr>
          <w:trHeight w:val="3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900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0000" w:rsidRDefault="007E5478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DEMAIS PRODUTOS E RECEITAS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000000">
        <w:trPr>
          <w:trHeight w:val="3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901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Papel destinado à i</w:t>
            </w:r>
            <w:r>
              <w:rPr>
                <w:rFonts w:ascii="Arial" w:hAnsi="Arial" w:cs="Arial"/>
                <w:sz w:val="20"/>
              </w:rPr>
              <w:t>mpressão de jornais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99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99"/>
                <w:sz w:val="20"/>
              </w:rPr>
              <w:t>30/04/2016 </w:t>
            </w:r>
          </w:p>
        </w:tc>
      </w:tr>
      <w:tr w:rsidR="00000000">
        <w:trPr>
          <w:trHeight w:val="18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902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Papéis classificados nos códigos 4801.00.10, 4801.00.90, 4802.61.91, 4802.61.99, 4810.19.89 e 4810.22.90, todos </w:t>
            </w:r>
            <w:proofErr w:type="gramStart"/>
            <w:r>
              <w:rPr>
                <w:rFonts w:ascii="Arial" w:hAnsi="Arial" w:cs="Arial"/>
                <w:sz w:val="20"/>
              </w:rPr>
              <w:t>da TIPI</w:t>
            </w:r>
            <w:proofErr w:type="gramEnd"/>
            <w:r>
              <w:rPr>
                <w:rFonts w:ascii="Arial" w:hAnsi="Arial" w:cs="Arial"/>
                <w:sz w:val="20"/>
              </w:rPr>
              <w:t>, destinados à impressão de periódicos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99"/>
                <w:sz w:val="20"/>
              </w:rPr>
            </w:pPr>
          </w:p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99"/>
                <w:sz w:val="20"/>
              </w:rPr>
            </w:pPr>
          </w:p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99"/>
                <w:sz w:val="20"/>
              </w:rPr>
            </w:pPr>
          </w:p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000099"/>
                <w:sz w:val="20"/>
              </w:rPr>
              <w:t>30/04/2016</w:t>
            </w: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000000">
        <w:trPr>
          <w:trHeight w:val="36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903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Livros, conforme defi</w:t>
            </w:r>
            <w:r>
              <w:rPr>
                <w:rFonts w:ascii="Arial" w:hAnsi="Arial" w:cs="Arial"/>
                <w:sz w:val="20"/>
              </w:rPr>
              <w:t>nido no art. 2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</w:rPr>
              <w:t xml:space="preserve"> da Lei n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</w:rPr>
              <w:t xml:space="preserve"> 10.753/</w:t>
            </w:r>
            <w:proofErr w:type="gramStart"/>
            <w:r>
              <w:rPr>
                <w:rFonts w:ascii="Arial" w:hAnsi="Arial" w:cs="Arial"/>
                <w:sz w:val="20"/>
              </w:rPr>
              <w:t>03</w:t>
            </w:r>
            <w:proofErr w:type="gramEnd"/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000000">
        <w:trPr>
          <w:trHeight w:val="96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904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Preparações compostas </w:t>
            </w:r>
            <w:proofErr w:type="gramStart"/>
            <w:r>
              <w:rPr>
                <w:rFonts w:ascii="Arial" w:hAnsi="Arial" w:cs="Arial"/>
                <w:sz w:val="20"/>
              </w:rPr>
              <w:t>não-alcoólicas</w:t>
            </w:r>
            <w:proofErr w:type="gramEnd"/>
            <w:r>
              <w:rPr>
                <w:rFonts w:ascii="Arial" w:hAnsi="Arial" w:cs="Arial"/>
                <w:sz w:val="20"/>
              </w:rPr>
              <w:t>, classificadas no código 2106.90.10 Ex 01 da TIPI, destinadas à elaboração de bebidas pelas pessoas jurídicas industriais dos produtos referidos no art. 58-A da Lei n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</w:rPr>
              <w:t xml:space="preserve"> 10.833/2003 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000000">
        <w:trPr>
          <w:trHeight w:val="12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905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Material de defesa, classificado nas posições 87.10.00.00 e 89.06.10.00 </w:t>
            </w:r>
            <w:proofErr w:type="gramStart"/>
            <w:r>
              <w:rPr>
                <w:rFonts w:ascii="Arial" w:hAnsi="Arial" w:cs="Arial"/>
                <w:sz w:val="20"/>
              </w:rPr>
              <w:t>da TIPI</w:t>
            </w:r>
            <w:proofErr w:type="gramEnd"/>
            <w:r>
              <w:rPr>
                <w:rFonts w:ascii="Arial" w:hAnsi="Arial" w:cs="Arial"/>
                <w:sz w:val="20"/>
              </w:rPr>
              <w:t>, além de partes, peças, componentes, ferramentais, insumos, equipamentos e matérias-primas a serem empregados na sua industrialização, montagem,</w:t>
            </w:r>
            <w:r>
              <w:rPr>
                <w:rFonts w:ascii="Arial" w:hAnsi="Arial" w:cs="Arial"/>
                <w:sz w:val="20"/>
              </w:rPr>
              <w:t xml:space="preserve"> manutenção, modernização e conversão 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000000">
        <w:trPr>
          <w:trHeight w:val="9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906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Equipamentos de controle de produção, inclusive medidores de vazão, condutivímetros, aparelhos para controle, registro, gravação e transmissão dos quantitativos medidos, quando adquiridos por pessoas </w:t>
            </w:r>
            <w:r>
              <w:rPr>
                <w:rFonts w:ascii="Arial" w:hAnsi="Arial" w:cs="Arial"/>
                <w:sz w:val="20"/>
              </w:rPr>
              <w:t xml:space="preserve">jurídicas legalmente obrigadas à sua </w:t>
            </w:r>
            <w:proofErr w:type="gramStart"/>
            <w:r>
              <w:rPr>
                <w:rFonts w:ascii="Arial" w:hAnsi="Arial" w:cs="Arial"/>
                <w:sz w:val="20"/>
              </w:rPr>
              <w:t>utilização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000000">
        <w:trPr>
          <w:trHeight w:val="9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907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Valores pagos ou creditados pelos Estados, Distrito Federal e Municípios relativos ao ICMS e ao ISS, no âmbito de programas de concessão de crédito voltados ao estímulo à solicitação de docu</w:t>
            </w:r>
            <w:r>
              <w:rPr>
                <w:rFonts w:ascii="Arial" w:hAnsi="Arial" w:cs="Arial"/>
                <w:color w:val="000000"/>
                <w:sz w:val="20"/>
              </w:rPr>
              <w:t xml:space="preserve">mento fiscal na aquisição de mercadorias e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serviços</w:t>
            </w:r>
            <w:proofErr w:type="gramEnd"/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000000">
        <w:trPr>
          <w:trHeight w:val="6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908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Vendas de mercadorias destinadas ao consumo ou à industrialização na Zona Franca de Manaus – ZFM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000000">
        <w:trPr>
          <w:trHeight w:val="6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909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Vendas de mercadorias destinadas ao consumo ou à industrialização nas Áre</w:t>
            </w:r>
            <w:r>
              <w:rPr>
                <w:rFonts w:ascii="Arial" w:hAnsi="Arial" w:cs="Arial"/>
                <w:sz w:val="20"/>
              </w:rPr>
              <w:t xml:space="preserve">as de Livre Comércio – ALC, exceto quando tiver </w:t>
            </w:r>
            <w:r>
              <w:rPr>
                <w:rFonts w:ascii="Arial" w:hAnsi="Arial" w:cs="Arial"/>
                <w:sz w:val="20"/>
                <w:szCs w:val="20"/>
              </w:rPr>
              <w:t>como destinatárias pessoas jurídicas atacadistas e varejistas, sujeitas ao regime de apuração não cumulativa da Contribuição para o PIS/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Pasep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 da Cofins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000000">
        <w:trPr>
          <w:trHeight w:val="12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910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Vendas de matérias-primas, produtos in</w:t>
            </w:r>
            <w:r>
              <w:rPr>
                <w:rFonts w:ascii="Arial" w:hAnsi="Arial" w:cs="Arial"/>
                <w:sz w:val="20"/>
              </w:rPr>
              <w:t xml:space="preserve">termediários e materiais de embalagem, produzidos na Zona Franca de Manaus para emprego em processo de industrialização por estabelecimentos industriais </w:t>
            </w:r>
            <w:proofErr w:type="gramStart"/>
            <w:r>
              <w:rPr>
                <w:rFonts w:ascii="Arial" w:hAnsi="Arial" w:cs="Arial"/>
                <w:sz w:val="20"/>
              </w:rPr>
              <w:t>ali instalados e consoante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projetos aprovados pelo SUFRAMA 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000000">
        <w:trPr>
          <w:trHeight w:val="3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911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Receitas financeiras, incl</w:t>
            </w:r>
            <w:r>
              <w:rPr>
                <w:rFonts w:ascii="Arial" w:hAnsi="Arial" w:cs="Arial"/>
                <w:sz w:val="20"/>
              </w:rPr>
              <w:t xml:space="preserve">usive decorrentes de operações realizadas para fins de hedge, auferidas pelas pessoas jurídicas sujeitas ao regime de incidência </w:t>
            </w:r>
            <w:proofErr w:type="gramStart"/>
            <w:r>
              <w:rPr>
                <w:rFonts w:ascii="Arial" w:hAnsi="Arial" w:cs="Arial"/>
                <w:sz w:val="20"/>
              </w:rPr>
              <w:t>não-cumulativa</w:t>
            </w:r>
            <w:proofErr w:type="gramEnd"/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00000">
        <w:trPr>
          <w:trHeight w:val="3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912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pStyle w:val="Normal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Aquisição no mercado interno ou a importação, de forma combinada ou não, de mercadoria equivalen</w:t>
            </w:r>
            <w:r>
              <w:rPr>
                <w:rFonts w:ascii="Arial" w:hAnsi="Arial" w:cs="Arial"/>
                <w:sz w:val="20"/>
                <w:szCs w:val="20"/>
              </w:rPr>
              <w:t>te à empregada ou consumida na industrialização de produto exportado (Drawback Reposição de Estoque), inclusive:</w:t>
            </w:r>
          </w:p>
          <w:p w:rsidR="00000000" w:rsidRDefault="007E5478">
            <w:pPr>
              <w:pStyle w:val="NormalWeb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– à empregada em reparo, criação, cultivo ou atividade extrativista de produto já exportado;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</w:p>
          <w:p w:rsidR="00000000" w:rsidRDefault="007E54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– para industrialização de produto intermed</w:t>
            </w:r>
            <w:r>
              <w:rPr>
                <w:rFonts w:ascii="Arial" w:hAnsi="Arial" w:cs="Arial"/>
                <w:sz w:val="20"/>
                <w:szCs w:val="20"/>
              </w:rPr>
              <w:t>iário fornecido diretamente a empresa industrial-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exportadora e empregado ou consumido na industrialização de produto final já exportado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00000">
        <w:trPr>
          <w:trHeight w:val="3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913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pStyle w:val="Normal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Projetores para exibição cinematográfica, classificados no código 9007.2 da NCM, e suas partes e acessó</w:t>
            </w:r>
            <w:r>
              <w:rPr>
                <w:rFonts w:ascii="Arial" w:hAnsi="Arial" w:cs="Arial"/>
                <w:sz w:val="20"/>
                <w:szCs w:val="20"/>
              </w:rPr>
              <w:t xml:space="preserve">rios, classificados no código 9007.9 da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NCM</w:t>
            </w:r>
            <w:proofErr w:type="gramEnd"/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30/09/2011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00000">
        <w:trPr>
          <w:trHeight w:val="3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pStyle w:val="Normal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18"/>
              </w:rPr>
              <w:t>eceita decorrente da venda de águas minerais naturais comercializadas em recipientes com capacidade nominal inferior a 10 (dez) litros ou igual ou superior a 10 (dez) litros classificadas no c</w:t>
            </w:r>
            <w:r>
              <w:rPr>
                <w:rFonts w:ascii="Arial" w:hAnsi="Arial" w:cs="Arial"/>
                <w:sz w:val="20"/>
                <w:szCs w:val="18"/>
              </w:rPr>
              <w:t xml:space="preserve">ódigo 2201.10.00 Ex 01 e Ex 02 </w:t>
            </w:r>
            <w:proofErr w:type="gramStart"/>
            <w:r>
              <w:rPr>
                <w:rFonts w:ascii="Arial" w:hAnsi="Arial" w:cs="Arial"/>
                <w:sz w:val="20"/>
                <w:szCs w:val="18"/>
              </w:rPr>
              <w:t>da Tipi</w:t>
            </w:r>
            <w:proofErr w:type="gramEnd"/>
            <w:r>
              <w:rPr>
                <w:rFonts w:ascii="Arial" w:hAnsi="Arial" w:cs="Arial"/>
                <w:sz w:val="20"/>
                <w:szCs w:val="18"/>
              </w:rPr>
              <w:t>, aprovada pelo Decreto n</w:t>
            </w:r>
            <w:r>
              <w:rPr>
                <w:rFonts w:ascii="Arial" w:hAnsi="Arial" w:cs="Arial"/>
                <w:sz w:val="20"/>
                <w:szCs w:val="18"/>
                <w:u w:val="single"/>
              </w:rPr>
              <w:t>o</w:t>
            </w:r>
            <w:r>
              <w:rPr>
                <w:rFonts w:ascii="Arial" w:hAnsi="Arial" w:cs="Arial"/>
                <w:sz w:val="20"/>
                <w:szCs w:val="18"/>
              </w:rPr>
              <w:t> 7.660, de 23 de dezembro de 2011.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2201.10.00 Ex 01 e Ex 02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18/09/2012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00000">
        <w:trPr>
          <w:trHeight w:val="3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915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pStyle w:val="NormalWeb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Concessões de geração, transmissão e distribuição de energia elétrica - 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alor da indenização correspondente às parc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elas dos investimentos vinculados a bens reversíveis, ainda não amortizados ou não depreciados, conforme art. 8º, § 4º, da Lº 12.783/2013.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04/04/2013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00000">
        <w:trPr>
          <w:trHeight w:val="3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916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pStyle w:val="NormalWeb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Concessões de geração, transmissão e distribuição de energia elétrica - 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alor da indenização corre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spondente às parcelas dos investimentos vinculados a bens reversíveis, ainda não amortizados ou não depreciados, conforme art. 15, § 9º, da Lei nº 12.783/2013.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04/04/2013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00000">
        <w:trPr>
          <w:trHeight w:val="3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917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pStyle w:val="Normal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Valores efetivamente recebidos exclusivamente a título da subvenção extraordi</w:t>
            </w:r>
            <w:r>
              <w:rPr>
                <w:rFonts w:ascii="Arial" w:hAnsi="Arial" w:cs="Arial"/>
                <w:sz w:val="20"/>
                <w:szCs w:val="20"/>
              </w:rPr>
              <w:t>nária aos produtores fornecedores independentes de cana-de-açúcar afetados por condições climáticas adversas referentes à safra 2011/2012 na Região Nordeste.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10/10/2013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00000">
        <w:trPr>
          <w:trHeight w:val="3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918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both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FF"/>
                <w:sz w:val="20"/>
                <w:szCs w:val="18"/>
              </w:rPr>
              <w:t>eceita decorrente da venda de bebidas frias, classificadas nos códigos 2106.90</w:t>
            </w:r>
            <w:r>
              <w:rPr>
                <w:rFonts w:ascii="Arial" w:hAnsi="Arial" w:cs="Arial"/>
                <w:color w:val="0000FF"/>
                <w:sz w:val="20"/>
                <w:szCs w:val="18"/>
              </w:rPr>
              <w:t>.10 Ex02; 22.01 (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exceto os Ex 01 e Ex 02 do código 2201.10.00); 22.02 (exceto os Ex 01, Ex 02 e Ex 03 do código 2202.90.00); e 22.02.90.00 Ex 03 e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lastRenderedPageBreak/>
              <w:t xml:space="preserve">22.03 </w:t>
            </w:r>
            <w:proofErr w:type="gramStart"/>
            <w:r>
              <w:rPr>
                <w:rFonts w:ascii="Arial" w:hAnsi="Arial" w:cs="Arial"/>
                <w:color w:val="0000FF"/>
                <w:sz w:val="20"/>
                <w:szCs w:val="20"/>
              </w:rPr>
              <w:t>da TIPI</w:t>
            </w:r>
            <w:proofErr w:type="gramEnd"/>
            <w:r>
              <w:rPr>
                <w:rFonts w:ascii="Arial" w:hAnsi="Arial" w:cs="Arial"/>
                <w:color w:val="0000FF"/>
                <w:sz w:val="20"/>
                <w:szCs w:val="20"/>
              </w:rPr>
              <w:t>, quando auferida pela pessoa jurídica varejista, assim considerada, a pessoa jurídica cuja rece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ita decorrente de venda de bens e serviços a consumidor final no ano-calendário imediatamente anterior ao da operação houver sido igual ou superior a 75% (setenta e cinco por cento) de sua receita total de venda de bens e serviços no mesmo período, depois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de excluídos os impostos e contribuições incidentes sobre a venda.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lastRenderedPageBreak/>
              <w:t>2106.90.10 Ex 02;</w:t>
            </w:r>
          </w:p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22.01 (exceto os Ex 01 e Ex 02 do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lastRenderedPageBreak/>
              <w:t xml:space="preserve">código 2201.10.00); 22.02 (exceto os Ex 01, Ex 02 e Ex 03 do código 2202.90.00); e 22.02.90.00 Ex 03 e </w:t>
            </w:r>
            <w:proofErr w:type="gramStart"/>
            <w:r>
              <w:rPr>
                <w:rFonts w:ascii="Arial" w:hAnsi="Arial" w:cs="Arial"/>
                <w:color w:val="0000FF"/>
                <w:sz w:val="20"/>
                <w:szCs w:val="20"/>
              </w:rPr>
              <w:t>22.03</w:t>
            </w:r>
            <w:proofErr w:type="gramEnd"/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lastRenderedPageBreak/>
              <w:t>01/05/2015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000000">
        <w:trPr>
          <w:trHeight w:val="300"/>
          <w:jc w:val="center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999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Código gené</w:t>
            </w:r>
            <w:r>
              <w:rPr>
                <w:rFonts w:ascii="Arial" w:hAnsi="Arial" w:cs="Arial"/>
                <w:sz w:val="20"/>
              </w:rPr>
              <w:t xml:space="preserve">rico – Operações tributáveis a alíquota zero 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-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547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OBS: </w:t>
      </w:r>
    </w:p>
    <w:p w:rsidR="00000000" w:rsidRDefault="007E5478">
      <w:pPr>
        <w:pStyle w:val="NormalWeb"/>
        <w:spacing w:before="0" w:after="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I. </w:t>
      </w:r>
      <w:r>
        <w:rPr>
          <w:rFonts w:ascii="Arial" w:hAnsi="Arial" w:cs="Arial"/>
          <w:sz w:val="20"/>
        </w:rPr>
        <w:t>As tabelas da EFD-Contribuições foram construídas com base na legislação vigente do PIS e da COFINS. Dessa forma, em diversos casos a legislação não atribui a um código NCM específico o tr</w:t>
      </w:r>
      <w:r>
        <w:rPr>
          <w:rFonts w:ascii="Arial" w:hAnsi="Arial" w:cs="Arial"/>
          <w:sz w:val="20"/>
        </w:rPr>
        <w:t xml:space="preserve">atamento tributário, assim </w:t>
      </w:r>
      <w:proofErr w:type="gramStart"/>
      <w:r>
        <w:rPr>
          <w:rFonts w:ascii="Arial" w:hAnsi="Arial" w:cs="Arial"/>
          <w:sz w:val="20"/>
        </w:rPr>
        <w:t>são listados</w:t>
      </w:r>
      <w:proofErr w:type="gramEnd"/>
      <w:r>
        <w:rPr>
          <w:rFonts w:ascii="Arial" w:hAnsi="Arial" w:cs="Arial"/>
          <w:sz w:val="20"/>
        </w:rPr>
        <w:t xml:space="preserve"> somente os códigos que se amoldam ao texto legal. Ou seja, a ausência de determinado código da NCM nas tabelas da EFD-Contribuições não significa que aquele código não possa receber o tratamento tributário de determi</w:t>
      </w:r>
      <w:r>
        <w:rPr>
          <w:rFonts w:ascii="Arial" w:hAnsi="Arial" w:cs="Arial"/>
          <w:sz w:val="20"/>
        </w:rPr>
        <w:t>nada tabela da EFD-Contribuições.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b/>
          <w:bCs/>
          <w:sz w:val="20"/>
        </w:rPr>
      </w:pP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 xml:space="preserve">II. </w:t>
      </w:r>
      <w:r>
        <w:rPr>
          <w:rFonts w:ascii="Arial" w:eastAsia="Times New Roman" w:hAnsi="Arial" w:cs="Arial"/>
          <w:sz w:val="20"/>
        </w:rPr>
        <w:t>Legislação de Referência: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>GRUPO 100 - INSUMOS E PRODUTOS AGROPECUÁRIOS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101: Lei nº 10.925/2004, art. 1º, </w:t>
      </w:r>
      <w:proofErr w:type="gramStart"/>
      <w:r>
        <w:rPr>
          <w:rFonts w:ascii="Arial" w:eastAsia="Times New Roman" w:hAnsi="Arial" w:cs="Arial"/>
          <w:sz w:val="20"/>
        </w:rPr>
        <w:t>I</w:t>
      </w:r>
      <w:proofErr w:type="gramEnd"/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102: Lei nº 10.925/2004, art. 1º, </w:t>
      </w:r>
      <w:proofErr w:type="gramStart"/>
      <w:r>
        <w:rPr>
          <w:rFonts w:ascii="Arial" w:eastAsia="Times New Roman" w:hAnsi="Arial" w:cs="Arial"/>
          <w:sz w:val="20"/>
        </w:rPr>
        <w:t>II</w:t>
      </w:r>
      <w:proofErr w:type="gramEnd"/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103: Lei nº 10.925/2004, art. 1º, </w:t>
      </w:r>
      <w:proofErr w:type="gramStart"/>
      <w:r>
        <w:rPr>
          <w:rFonts w:ascii="Arial" w:eastAsia="Times New Roman" w:hAnsi="Arial" w:cs="Arial"/>
          <w:sz w:val="20"/>
        </w:rPr>
        <w:t>III</w:t>
      </w:r>
      <w:proofErr w:type="gramEnd"/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104: Le</w:t>
      </w:r>
      <w:r>
        <w:rPr>
          <w:rFonts w:ascii="Arial" w:eastAsia="Times New Roman" w:hAnsi="Arial" w:cs="Arial"/>
          <w:sz w:val="20"/>
        </w:rPr>
        <w:t xml:space="preserve">i nº 10.925/2004, art. 1º, </w:t>
      </w:r>
      <w:proofErr w:type="gramStart"/>
      <w:r>
        <w:rPr>
          <w:rFonts w:ascii="Arial" w:eastAsia="Times New Roman" w:hAnsi="Arial" w:cs="Arial"/>
          <w:sz w:val="20"/>
        </w:rPr>
        <w:t>IV</w:t>
      </w:r>
      <w:proofErr w:type="gramEnd"/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105: Lei nº 10.925/2004, art. 1º, </w:t>
      </w:r>
      <w:proofErr w:type="gramStart"/>
      <w:r>
        <w:rPr>
          <w:rFonts w:ascii="Arial" w:eastAsia="Times New Roman" w:hAnsi="Arial" w:cs="Arial"/>
          <w:sz w:val="20"/>
        </w:rPr>
        <w:t>V</w:t>
      </w:r>
      <w:proofErr w:type="gramEnd"/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106: Lei nº 10.925/2004, art. 1º, </w:t>
      </w:r>
      <w:proofErr w:type="gramStart"/>
      <w:r>
        <w:rPr>
          <w:rFonts w:ascii="Arial" w:eastAsia="Times New Roman" w:hAnsi="Arial" w:cs="Arial"/>
          <w:sz w:val="20"/>
        </w:rPr>
        <w:t>VI</w:t>
      </w:r>
      <w:proofErr w:type="gramEnd"/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107: Lei nº 10.925/2004, art. 1º, </w:t>
      </w:r>
      <w:proofErr w:type="gramStart"/>
      <w:r>
        <w:rPr>
          <w:rFonts w:ascii="Arial" w:eastAsia="Times New Roman" w:hAnsi="Arial" w:cs="Arial"/>
          <w:sz w:val="20"/>
        </w:rPr>
        <w:t>VII</w:t>
      </w:r>
      <w:proofErr w:type="gramEnd"/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108: Lei nº 10.925/2004, art. 1º, </w:t>
      </w:r>
      <w:proofErr w:type="gramStart"/>
      <w:r>
        <w:rPr>
          <w:rFonts w:ascii="Arial" w:eastAsia="Times New Roman" w:hAnsi="Arial" w:cs="Arial"/>
          <w:sz w:val="20"/>
        </w:rPr>
        <w:t>IX</w:t>
      </w:r>
      <w:proofErr w:type="gramEnd"/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109: Lei nº 10.925/2004, art. 1º, </w:t>
      </w:r>
      <w:proofErr w:type="gramStart"/>
      <w:r>
        <w:rPr>
          <w:rFonts w:ascii="Arial" w:eastAsia="Times New Roman" w:hAnsi="Arial" w:cs="Arial"/>
          <w:sz w:val="20"/>
        </w:rPr>
        <w:t>X</w:t>
      </w:r>
      <w:proofErr w:type="gramEnd"/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</w:t>
      </w:r>
      <w:r>
        <w:rPr>
          <w:rFonts w:ascii="Arial" w:eastAsia="Times New Roman" w:hAnsi="Arial" w:cs="Arial"/>
          <w:sz w:val="20"/>
        </w:rPr>
        <w:t xml:space="preserve">110: Lei nº 10.925/2004, art. 1º, </w:t>
      </w:r>
      <w:proofErr w:type="gramStart"/>
      <w:r>
        <w:rPr>
          <w:rFonts w:ascii="Arial" w:eastAsia="Times New Roman" w:hAnsi="Arial" w:cs="Arial"/>
          <w:sz w:val="20"/>
        </w:rPr>
        <w:t>XI</w:t>
      </w:r>
      <w:proofErr w:type="gramEnd"/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111: Lei nº 10.925/2004, art. 1º, </w:t>
      </w:r>
      <w:proofErr w:type="gramStart"/>
      <w:r>
        <w:rPr>
          <w:rFonts w:ascii="Arial" w:eastAsia="Times New Roman" w:hAnsi="Arial" w:cs="Arial"/>
          <w:sz w:val="20"/>
        </w:rPr>
        <w:t>XII</w:t>
      </w:r>
      <w:proofErr w:type="gramEnd"/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112: Lei nº 10.925/2004, art. 1º, XIII e § 1º.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113: Lei nº 10.925/2004, art. 1º, XIV e § 1º, atualizado pelo art. 9º da Lei nº 12.766/2012 e art. 15 da Lei nº 1</w:t>
      </w:r>
      <w:r>
        <w:rPr>
          <w:rFonts w:ascii="Arial" w:eastAsia="Times New Roman" w:hAnsi="Arial" w:cs="Arial"/>
          <w:sz w:val="20"/>
        </w:rPr>
        <w:t>2.839/2013.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114: Lei nº 10.925/2004, art. 1º, XV e § 1º, atualizado pelo art. 9º da Lei nº 12.766/2012 e art. 15 da Lei nº 12.839/2013.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115: Lei nº 10.925/2004, art. 1º, XVI, atualizado pelo art. 9º da Lei nº 12.766/2012 e art. 15 da Lei nº 1</w:t>
      </w:r>
      <w:r>
        <w:rPr>
          <w:rFonts w:ascii="Arial" w:eastAsia="Times New Roman" w:hAnsi="Arial" w:cs="Arial"/>
          <w:sz w:val="20"/>
        </w:rPr>
        <w:t>2.839/2013.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116: Lei nº 10.865/2004, art. 28, </w:t>
      </w:r>
      <w:proofErr w:type="gramStart"/>
      <w:r>
        <w:rPr>
          <w:rFonts w:ascii="Arial" w:eastAsia="Times New Roman" w:hAnsi="Arial" w:cs="Arial"/>
          <w:sz w:val="20"/>
        </w:rPr>
        <w:t>III</w:t>
      </w:r>
      <w:proofErr w:type="gramEnd"/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117: Lei nº 10.865/2004, art. 28, </w:t>
      </w:r>
      <w:proofErr w:type="gramStart"/>
      <w:r>
        <w:rPr>
          <w:rFonts w:ascii="Arial" w:eastAsia="Times New Roman" w:hAnsi="Arial" w:cs="Arial"/>
          <w:sz w:val="20"/>
        </w:rPr>
        <w:t>III</w:t>
      </w:r>
      <w:proofErr w:type="gramEnd"/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118: Lei nº 10.865/2004, art. 28, </w:t>
      </w:r>
      <w:proofErr w:type="gramStart"/>
      <w:r>
        <w:rPr>
          <w:rFonts w:ascii="Arial" w:eastAsia="Times New Roman" w:hAnsi="Arial" w:cs="Arial"/>
          <w:sz w:val="20"/>
        </w:rPr>
        <w:t>V</w:t>
      </w:r>
      <w:proofErr w:type="gramEnd"/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119: Lei nº 10.925/2004, art. 1º, XVIII, com vigência definida pela Medida Provisória nº 582/2012 e art.</w:t>
      </w:r>
      <w:r>
        <w:rPr>
          <w:rFonts w:ascii="Arial" w:eastAsia="Times New Roman" w:hAnsi="Arial" w:cs="Arial"/>
          <w:sz w:val="20"/>
        </w:rPr>
        <w:t xml:space="preserve"> 15 da Lei nº 12.839/2013.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120: Lei nº 10.925/2004, art. 1º, XII, com a redação dada pela Lei nº 12.655/</w:t>
      </w:r>
      <w:proofErr w:type="gramStart"/>
      <w:r>
        <w:rPr>
          <w:rFonts w:ascii="Arial" w:eastAsia="Times New Roman" w:hAnsi="Arial" w:cs="Arial"/>
          <w:sz w:val="20"/>
        </w:rPr>
        <w:t>2012</w:t>
      </w:r>
      <w:proofErr w:type="gramEnd"/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lastRenderedPageBreak/>
        <w:t xml:space="preserve">Códigos 121 a 130: Medida Provisória nº 609/2013, art. </w:t>
      </w:r>
      <w:proofErr w:type="gramStart"/>
      <w:r>
        <w:rPr>
          <w:rFonts w:ascii="Arial" w:eastAsia="Times New Roman" w:hAnsi="Arial" w:cs="Arial"/>
          <w:sz w:val="20"/>
        </w:rPr>
        <w:t>1º</w:t>
      </w:r>
      <w:proofErr w:type="gramEnd"/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 xml:space="preserve">GRUPO 200 - INFRAESTRUTURA: AERONAVES, EMBARCAÇÕES, OUTROS VEÍCULOS, </w:t>
      </w:r>
      <w:proofErr w:type="gramStart"/>
      <w:r>
        <w:rPr>
          <w:rFonts w:ascii="Arial" w:eastAsia="Times New Roman" w:hAnsi="Arial" w:cs="Arial"/>
          <w:b/>
          <w:bCs/>
          <w:sz w:val="20"/>
        </w:rPr>
        <w:t>COMBUSTÍVES</w:t>
      </w:r>
      <w:proofErr w:type="gramEnd"/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201: Lei nº 10.865/2004, art. 28, </w:t>
      </w:r>
      <w:proofErr w:type="gramStart"/>
      <w:r>
        <w:rPr>
          <w:rFonts w:ascii="Arial" w:eastAsia="Times New Roman" w:hAnsi="Arial" w:cs="Arial"/>
          <w:sz w:val="20"/>
        </w:rPr>
        <w:t>IV</w:t>
      </w:r>
      <w:proofErr w:type="gramEnd"/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202: Lei nº 10.865/2004, art. 28, </w:t>
      </w:r>
      <w:proofErr w:type="gramStart"/>
      <w:r>
        <w:rPr>
          <w:rFonts w:ascii="Arial" w:eastAsia="Times New Roman" w:hAnsi="Arial" w:cs="Arial"/>
          <w:sz w:val="20"/>
        </w:rPr>
        <w:t>IV</w:t>
      </w:r>
      <w:proofErr w:type="gramEnd"/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203: Lei nº 9.718/1998, art. 5, §</w:t>
      </w:r>
      <w:proofErr w:type="gramStart"/>
      <w:r>
        <w:rPr>
          <w:rFonts w:ascii="Arial" w:eastAsia="Times New Roman" w:hAnsi="Arial" w:cs="Arial"/>
          <w:sz w:val="20"/>
        </w:rPr>
        <w:t>1º</w:t>
      </w:r>
      <w:proofErr w:type="gramEnd"/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204: Lei nº 9.718/1998, art. 5, §</w:t>
      </w:r>
      <w:proofErr w:type="gramStart"/>
      <w:r>
        <w:rPr>
          <w:rFonts w:ascii="Arial" w:eastAsia="Times New Roman" w:hAnsi="Arial" w:cs="Arial"/>
          <w:sz w:val="20"/>
        </w:rPr>
        <w:t>1º</w:t>
      </w:r>
      <w:proofErr w:type="gramEnd"/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205: Lei nº 10.312/2001, art. </w:t>
      </w:r>
      <w:proofErr w:type="gramStart"/>
      <w:r>
        <w:rPr>
          <w:rFonts w:ascii="Arial" w:eastAsia="Times New Roman" w:hAnsi="Arial" w:cs="Arial"/>
          <w:sz w:val="20"/>
        </w:rPr>
        <w:t>2º</w:t>
      </w:r>
      <w:proofErr w:type="gramEnd"/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206: Decreto nº 5.297/2004, art. 4</w:t>
      </w:r>
      <w:r>
        <w:rPr>
          <w:rFonts w:ascii="Arial" w:eastAsia="Times New Roman" w:hAnsi="Arial" w:cs="Arial"/>
          <w:sz w:val="20"/>
        </w:rPr>
        <w:t xml:space="preserve">º, §1º, </w:t>
      </w:r>
      <w:proofErr w:type="gramStart"/>
      <w:r>
        <w:rPr>
          <w:rFonts w:ascii="Arial" w:eastAsia="Times New Roman" w:hAnsi="Arial" w:cs="Arial"/>
          <w:sz w:val="20"/>
        </w:rPr>
        <w:t>III</w:t>
      </w:r>
      <w:proofErr w:type="gramEnd"/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207: Lei nº 10.485/2002, art. </w:t>
      </w:r>
      <w:proofErr w:type="gramStart"/>
      <w:r>
        <w:rPr>
          <w:rFonts w:ascii="Arial" w:eastAsia="Times New Roman" w:hAnsi="Arial" w:cs="Arial"/>
          <w:sz w:val="20"/>
        </w:rPr>
        <w:t>2º</w:t>
      </w:r>
      <w:proofErr w:type="gramEnd"/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208: Decreto nº 6.644/2008, art. </w:t>
      </w:r>
      <w:proofErr w:type="gramStart"/>
      <w:r>
        <w:rPr>
          <w:rFonts w:ascii="Arial" w:eastAsia="Times New Roman" w:hAnsi="Arial" w:cs="Arial"/>
          <w:sz w:val="20"/>
        </w:rPr>
        <w:t>1º</w:t>
      </w:r>
      <w:proofErr w:type="gramEnd"/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209: Decreto nº 6.644/2008, art. </w:t>
      </w:r>
      <w:proofErr w:type="gramStart"/>
      <w:r>
        <w:rPr>
          <w:rFonts w:ascii="Arial" w:eastAsia="Times New Roman" w:hAnsi="Arial" w:cs="Arial"/>
          <w:sz w:val="20"/>
        </w:rPr>
        <w:t>1º</w:t>
      </w:r>
      <w:proofErr w:type="gramEnd"/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210: Lei nº 10.865/2004, art. 28, </w:t>
      </w:r>
      <w:proofErr w:type="gramStart"/>
      <w:r>
        <w:rPr>
          <w:rFonts w:ascii="Arial" w:eastAsia="Times New Roman" w:hAnsi="Arial" w:cs="Arial"/>
          <w:sz w:val="20"/>
        </w:rPr>
        <w:t>X</w:t>
      </w:r>
      <w:proofErr w:type="gramEnd"/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211: Lei nº 10.865/2004, art. 28, </w:t>
      </w:r>
      <w:proofErr w:type="gramStart"/>
      <w:r>
        <w:rPr>
          <w:rFonts w:ascii="Arial" w:eastAsia="Times New Roman" w:hAnsi="Arial" w:cs="Arial"/>
          <w:sz w:val="20"/>
        </w:rPr>
        <w:t>XI</w:t>
      </w:r>
      <w:proofErr w:type="gramEnd"/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212: Lei nº 10.312/2001,</w:t>
      </w:r>
      <w:r>
        <w:rPr>
          <w:rFonts w:ascii="Arial" w:eastAsia="Times New Roman" w:hAnsi="Arial" w:cs="Arial"/>
          <w:sz w:val="20"/>
        </w:rPr>
        <w:t xml:space="preserve"> art. </w:t>
      </w:r>
      <w:proofErr w:type="gramStart"/>
      <w:r>
        <w:rPr>
          <w:rFonts w:ascii="Arial" w:eastAsia="Times New Roman" w:hAnsi="Arial" w:cs="Arial"/>
          <w:sz w:val="20"/>
        </w:rPr>
        <w:t>1º</w:t>
      </w:r>
      <w:proofErr w:type="gramEnd"/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213: Lei nº 10.865/2004, Art. 28, XX, incluído pela Lei 12.350, de </w:t>
      </w:r>
      <w:proofErr w:type="gramStart"/>
      <w:r>
        <w:rPr>
          <w:rFonts w:ascii="Arial" w:eastAsia="Times New Roman" w:hAnsi="Arial" w:cs="Arial"/>
          <w:sz w:val="20"/>
        </w:rPr>
        <w:t>2010</w:t>
      </w:r>
      <w:proofErr w:type="gramEnd"/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214: Medida Provisória nº 617/2013, art. 1º e Lei nº 12.860/2013, art. </w:t>
      </w:r>
      <w:proofErr w:type="gramStart"/>
      <w:r>
        <w:rPr>
          <w:rFonts w:ascii="Arial" w:eastAsia="Times New Roman" w:hAnsi="Arial" w:cs="Arial"/>
          <w:sz w:val="20"/>
        </w:rPr>
        <w:t>1º</w:t>
      </w:r>
      <w:proofErr w:type="gramEnd"/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215: Lei nº 13.043/2013, Arts. 81 e 113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</w:p>
    <w:p w:rsidR="00000000" w:rsidRDefault="007E5478">
      <w:pPr>
        <w:pStyle w:val="NormalWeb"/>
        <w:spacing w:before="0" w:after="0"/>
        <w:rPr>
          <w:rFonts w:ascii="Arial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 xml:space="preserve">GRUPO 300 - </w:t>
      </w:r>
      <w:r>
        <w:rPr>
          <w:rFonts w:ascii="Arial" w:hAnsi="Arial" w:cs="Arial"/>
          <w:b/>
          <w:bCs/>
          <w:sz w:val="20"/>
        </w:rPr>
        <w:t xml:space="preserve">SAÚDE: PRODUTOS QUIMICOS, </w:t>
      </w:r>
      <w:r>
        <w:rPr>
          <w:rFonts w:ascii="Arial" w:hAnsi="Arial" w:cs="Arial"/>
          <w:b/>
          <w:bCs/>
          <w:sz w:val="20"/>
        </w:rPr>
        <w:t xml:space="preserve">APARELHOS ORTOPÉDICOS, PRODUTOS DESTINADOS A PORTADORES DE NECESSIDADES ESPECIAIS, </w:t>
      </w:r>
      <w:proofErr w:type="gramStart"/>
      <w:r>
        <w:rPr>
          <w:rFonts w:ascii="Arial" w:hAnsi="Arial" w:cs="Arial"/>
          <w:b/>
          <w:bCs/>
          <w:sz w:val="20"/>
        </w:rPr>
        <w:t>OUTROS</w:t>
      </w:r>
      <w:proofErr w:type="gramEnd"/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301: Decreto nº 5.171/2004, art. 6º-</w:t>
      </w:r>
      <w:proofErr w:type="gramStart"/>
      <w:r>
        <w:rPr>
          <w:rFonts w:ascii="Arial" w:eastAsia="Times New Roman" w:hAnsi="Arial" w:cs="Arial"/>
          <w:sz w:val="20"/>
        </w:rPr>
        <w:t>B</w:t>
      </w:r>
      <w:proofErr w:type="gramEnd"/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302: Lei nº 10.865/2004, Art. 28, </w:t>
      </w:r>
      <w:proofErr w:type="gramStart"/>
      <w:r>
        <w:rPr>
          <w:rFonts w:ascii="Arial" w:eastAsia="Times New Roman" w:hAnsi="Arial" w:cs="Arial"/>
          <w:sz w:val="20"/>
        </w:rPr>
        <w:t>XV</w:t>
      </w:r>
      <w:proofErr w:type="gramEnd"/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303: Lei nº 10.865/2004, Art. 28, </w:t>
      </w:r>
      <w:proofErr w:type="gramStart"/>
      <w:r>
        <w:rPr>
          <w:rFonts w:ascii="Arial" w:eastAsia="Times New Roman" w:hAnsi="Arial" w:cs="Arial"/>
          <w:sz w:val="20"/>
        </w:rPr>
        <w:t>XVI</w:t>
      </w:r>
      <w:proofErr w:type="gramEnd"/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304: Lei nº 10.865/2004, </w:t>
      </w:r>
      <w:r>
        <w:rPr>
          <w:rFonts w:ascii="Arial" w:eastAsia="Times New Roman" w:hAnsi="Arial" w:cs="Arial"/>
          <w:sz w:val="20"/>
        </w:rPr>
        <w:t>Art. 28, XVII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305: Lei nº 10.865/2004, Art. 28, XVIII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306: Decreto nº 6.426/2008, art. 1º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307: Decreto nº 6.426/2008, art. 1º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308: Decreto nº 6.426/2008, art. 1º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309: Lei nº 10.865/2004, Art. 28, XXII incluído pela MP 549</w:t>
      </w:r>
      <w:r>
        <w:rPr>
          <w:rFonts w:ascii="Arial" w:eastAsia="Times New Roman" w:hAnsi="Arial" w:cs="Arial"/>
          <w:sz w:val="20"/>
        </w:rPr>
        <w:t>, de 2011, convertida na Lei nº 12.649/2012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310: Lei nº 10.865/2004, Art. 28, XXIII, incluído pela MP 549, de 2011, convertida na Lei nº 12.649/2012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311: Lei nº 10.865/2004, Art. 28, XXIV, incluído pela MP 549, de 2011, convertida na Lei nº 1</w:t>
      </w:r>
      <w:r>
        <w:rPr>
          <w:rFonts w:ascii="Arial" w:eastAsia="Times New Roman" w:hAnsi="Arial" w:cs="Arial"/>
          <w:sz w:val="20"/>
        </w:rPr>
        <w:t>2.649/2012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312: Lei nº 10.865/2004, Art. 28, XXV, incluído pela MP 549, de 2011, convertida na Lei nº 12.649/2012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313: Lei nº 10.865/2004, Art. 28, XXVI incluído pela MP 549, de 2011, convertida na Lei nº 12.649/2012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314: Lei nº 10.865</w:t>
      </w:r>
      <w:r>
        <w:rPr>
          <w:rFonts w:ascii="Arial" w:eastAsia="Times New Roman" w:hAnsi="Arial" w:cs="Arial"/>
          <w:sz w:val="20"/>
        </w:rPr>
        <w:t>/2004, Art. 28, XXVII, incluído pela MP 549, de 2011, convertida na Lei nº 12.649/2012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315: Lei nº 10.865/2004, Art. 28, XXVIII, incluído pela MP 549, de 2011, convertida na Lei nº 12.649/2012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lastRenderedPageBreak/>
        <w:t xml:space="preserve">Código 316: Lei nº 10.865/2004, Art. 28, XXIX, incluído </w:t>
      </w:r>
      <w:r>
        <w:rPr>
          <w:rFonts w:ascii="Arial" w:eastAsia="Times New Roman" w:hAnsi="Arial" w:cs="Arial"/>
          <w:sz w:val="20"/>
        </w:rPr>
        <w:t>pela MP 549, de 2011, convertida na Lei nº 12.649/2012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317: Lei nº 10.865/2004, Art. 28, XXX, incluído pela MP 549, de 2011, convertida na Lei nº 12.649/2012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318: Lei nº 10.865/2004, Art. 28, XXXI incluído pela MP 549, de 2011, convertida na </w:t>
      </w:r>
      <w:r>
        <w:rPr>
          <w:rFonts w:ascii="Arial" w:eastAsia="Times New Roman" w:hAnsi="Arial" w:cs="Arial"/>
          <w:sz w:val="20"/>
        </w:rPr>
        <w:t>Lei nº 12.649/2012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319: Lei nº 10.865/2004, Art. 28, XXXII, incluído pela MP 549, de 2011, convertida na Lei nº 12.649/2012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320: Lei nº 10.865/2004, Art. 28, XXXIII, incluído pela Lei nº 12.649/2012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321: Lei nº 10.865/2004, Art. 28, XX</w:t>
      </w:r>
      <w:r>
        <w:rPr>
          <w:rFonts w:ascii="Arial" w:eastAsia="Times New Roman" w:hAnsi="Arial" w:cs="Arial"/>
          <w:sz w:val="20"/>
        </w:rPr>
        <w:t>XIV, incluído pela Lei nº 12.649/2012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322: Lei nº 10.865/2004, Art. 28, XXXV, incluído pela Lei nº 12.649/2012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323: Lei nº 13.043/2013, Arts. 70 e 113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>GRUPO 400 - INFORMÁTICA, PADIS, PATVD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401: Lei nº 11.196/2005, art. 28 e Decreto </w:t>
      </w:r>
      <w:r>
        <w:rPr>
          <w:rFonts w:ascii="Arial" w:eastAsia="Times New Roman" w:hAnsi="Arial" w:cs="Arial"/>
          <w:sz w:val="20"/>
        </w:rPr>
        <w:t>nº 6.023/2007 - Revogado pelas MP 690/2015 e Lei nº 13.241/2015.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402: Lei nº 11.196/2005, art. 28 e Decreto nº 6.023/2007 - Revogado pelas MP 690/2015 e Lei nº 13.241/2015.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403: Lei nº 11.196/2005, art. 28 e Decreto nº 6.023/2007 - Revogado p</w:t>
      </w:r>
      <w:r>
        <w:rPr>
          <w:rFonts w:ascii="Arial" w:eastAsia="Times New Roman" w:hAnsi="Arial" w:cs="Arial"/>
          <w:sz w:val="20"/>
        </w:rPr>
        <w:t>elas MP 690/2015 e Lei nº 13.241/2015.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404: Lei nº 11.196/2005, art. 28 e Decreto nº 6.023/2007 - Revogado pelas MP 690/2015 e Lei nº 13.241/2015.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405: Lei nº 11.484/2007, arts. 1º a 11 e Decreto nº 6.233/2007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Código 406: Lei nº 11.484/2007, </w:t>
      </w:r>
      <w:r>
        <w:rPr>
          <w:rFonts w:ascii="Arial" w:eastAsia="Times New Roman" w:hAnsi="Arial" w:cs="Arial"/>
          <w:sz w:val="20"/>
        </w:rPr>
        <w:t>arts. 12 a 22 e Decreto nº 6.234/2007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407: Lei nº 11.196/2005, art. 28, inciso VI, incluído pela lei 12.507/2011. - Revogado pelas MP 690/2015 e Lei nº 13.241/2015.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408: Lei nº 11.196/2005, art. 28, inciso V e Decretos nº 5.602/2005 e 12.715/</w:t>
      </w:r>
      <w:r>
        <w:rPr>
          <w:rFonts w:ascii="Arial" w:eastAsia="Times New Roman" w:hAnsi="Arial" w:cs="Arial"/>
          <w:sz w:val="20"/>
        </w:rPr>
        <w:t>2012 - Revogado pelas MP nº 690/2015 e Lei nº 13.241/2015.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409: Lei nº 11.196/2005, art. 28, inciso VII, incluído pela Lei nº 12.715/2012 e Decreto nº 5.602/2005 - Revogado pelas MP nº 690/2015 e Lei nº 13.241/2015.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410: Lei nº 11.196/2005, a</w:t>
      </w:r>
      <w:r>
        <w:rPr>
          <w:rFonts w:ascii="Arial" w:eastAsia="Times New Roman" w:hAnsi="Arial" w:cs="Arial"/>
          <w:sz w:val="20"/>
        </w:rPr>
        <w:t>rt. 28, inciso VIII, incluído pela Lei nº 12.715/2012 e Decreto nº 5.602/2005 - Revogado pelas MP nº 690/2015 e  Lei nº 13.241/2015.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411: Lei nº 11.196/2005, art. 28, § 2º. - Revogado pelas MP nº 690/2015 e Lei nº 13.241/2015.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412: Lei nº 11.</w:t>
      </w:r>
      <w:r>
        <w:rPr>
          <w:rFonts w:ascii="Arial" w:eastAsia="Times New Roman" w:hAnsi="Arial" w:cs="Arial"/>
          <w:sz w:val="20"/>
        </w:rPr>
        <w:t>196/2005, art. 28, § 3º. - Revogado pelas MP nº 690/2015 e Lei nº 13.241/2015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413 e 414: Medida Provisória 582/2012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b/>
          <w:bCs/>
          <w:sz w:val="20"/>
        </w:rPr>
      </w:pP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>GRUPO 900 - DEMAIS PRODUTOS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901: Lei nº 10.865/2004, ART. 28, I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902: Lei nº 10.865/2004, ART. 28, II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903: Lei n</w:t>
      </w:r>
      <w:r>
        <w:rPr>
          <w:rFonts w:ascii="Arial" w:eastAsia="Times New Roman" w:hAnsi="Arial" w:cs="Arial"/>
          <w:sz w:val="20"/>
        </w:rPr>
        <w:t>º 10.865/2004, ART. 28, VI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904: Lei nº 10.865/2004, ART. 28, VII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905: Lei nº 10.865/2004, Art. 28, XII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906: Lei nº 10.865/2004, Art. 28, XIII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907: Lei nº 11.945/2009, Art. 5º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908: Lei nº 10.996/2004, art. 2º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lastRenderedPageBreak/>
        <w:t>Código 909: L</w:t>
      </w:r>
      <w:r>
        <w:rPr>
          <w:rFonts w:ascii="Arial" w:eastAsia="Times New Roman" w:hAnsi="Arial" w:cs="Arial"/>
          <w:sz w:val="20"/>
        </w:rPr>
        <w:t>ei nº 10.996/2004, art. 2º c/c Lei nº 12.350/2010, art. 59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910: Lei nº 10.637/2002, Art. 5º-A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911: Lei nº 10.865/2004, art. 27, § 2º e Decreto nº 5.442/2005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912: Lei nº 12.350/2010, art. 31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913: Lei nº 10.865/2004, Art. 28, XXI,</w:t>
      </w:r>
      <w:r>
        <w:rPr>
          <w:rFonts w:ascii="Arial" w:eastAsia="Times New Roman" w:hAnsi="Arial" w:cs="Arial"/>
          <w:sz w:val="20"/>
        </w:rPr>
        <w:t xml:space="preserve"> incluído pela MP 545/2011, convertida na Lei nº 12.599/2012.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914: Lei nº 12.715/2012, Art. 76.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Códigos 915 e 916: Medida Provisória nº 612/2013.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917: Lei nº 12.865/2013, Art. 4º.</w:t>
      </w:r>
    </w:p>
    <w:p w:rsidR="00000000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Código 918: Lei nº 13.097/2015, Art. 28.</w:t>
      </w:r>
    </w:p>
    <w:p w:rsidR="007E5478" w:rsidRDefault="007E5478">
      <w:pPr>
        <w:pStyle w:val="NormalWeb"/>
        <w:spacing w:before="0" w:after="0"/>
        <w:rPr>
          <w:rFonts w:ascii="Arial" w:eastAsia="Times New Roman" w:hAnsi="Arial" w:cs="Arial"/>
          <w:sz w:val="20"/>
        </w:rPr>
      </w:pPr>
    </w:p>
    <w:sectPr w:rsidR="007E5478">
      <w:footnotePr>
        <w:pos w:val="beneathText"/>
      </w:footnotePr>
      <w:pgSz w:w="15840" w:h="12240" w:orient="landscape"/>
      <w:pgMar w:top="1701" w:right="1418" w:bottom="170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A636F8"/>
    <w:multiLevelType w:val="hybridMultilevel"/>
    <w:tmpl w:val="992A7158"/>
    <w:lvl w:ilvl="0" w:tplc="57105E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32008A"/>
    <w:multiLevelType w:val="hybridMultilevel"/>
    <w:tmpl w:val="0AB04F40"/>
    <w:lvl w:ilvl="0" w:tplc="DA185E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27"/>
    <w:rsid w:val="00036D27"/>
    <w:rsid w:val="007E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sz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ntepargpadro0">
    <w:name w:val="Default Paragraph Font"/>
    <w:semiHidden/>
  </w:style>
  <w:style w:type="character" w:customStyle="1" w:styleId="WW-Fontepargpadro">
    <w:name w:val="WW-Fonte parág. padrão"/>
  </w:style>
  <w:style w:type="character" w:styleId="Hyperlink">
    <w:name w:val="Hyperlink"/>
    <w:semiHidden/>
    <w:rPr>
      <w:color w:val="0000FF"/>
      <w:u w:val="single"/>
    </w:rPr>
  </w:style>
  <w:style w:type="character" w:styleId="HiperlinkVisitado">
    <w:name w:val="FollowedHyperlink"/>
    <w:semiHidden/>
    <w:rPr>
      <w:color w:val="800080"/>
      <w:u w:val="single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semiHidden/>
    <w:rPr>
      <w:rFonts w:ascii="Arial" w:hAnsi="Arial" w:cs="Arial"/>
      <w:sz w:val="20"/>
      <w:szCs w:val="20"/>
    </w:rPr>
  </w:style>
  <w:style w:type="paragraph" w:styleId="Lista">
    <w:name w:val="List"/>
    <w:basedOn w:val="Corpodetexto"/>
    <w:semiHidden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tulo0">
    <w:name w:val="Title"/>
    <w:basedOn w:val="Normal"/>
    <w:next w:val="Corpodetexto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zCs w:val="20"/>
    </w:rPr>
  </w:style>
  <w:style w:type="paragraph" w:styleId="NormalWeb">
    <w:name w:val="Normal (Web)"/>
    <w:basedOn w:val="Normal"/>
    <w:semiHidden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04partenormativa">
    <w:name w:val="04partenormativa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texto1">
    <w:name w:val="texto1"/>
    <w:basedOn w:val="Normal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sz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ntepargpadro0">
    <w:name w:val="Default Paragraph Font"/>
    <w:semiHidden/>
  </w:style>
  <w:style w:type="character" w:customStyle="1" w:styleId="WW-Fontepargpadro">
    <w:name w:val="WW-Fonte parág. padrão"/>
  </w:style>
  <w:style w:type="character" w:styleId="Hyperlink">
    <w:name w:val="Hyperlink"/>
    <w:semiHidden/>
    <w:rPr>
      <w:color w:val="0000FF"/>
      <w:u w:val="single"/>
    </w:rPr>
  </w:style>
  <w:style w:type="character" w:styleId="HiperlinkVisitado">
    <w:name w:val="FollowedHyperlink"/>
    <w:semiHidden/>
    <w:rPr>
      <w:color w:val="800080"/>
      <w:u w:val="single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semiHidden/>
    <w:rPr>
      <w:rFonts w:ascii="Arial" w:hAnsi="Arial" w:cs="Arial"/>
      <w:sz w:val="20"/>
      <w:szCs w:val="20"/>
    </w:rPr>
  </w:style>
  <w:style w:type="paragraph" w:styleId="Lista">
    <w:name w:val="List"/>
    <w:basedOn w:val="Corpodetexto"/>
    <w:semiHidden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tulo0">
    <w:name w:val="Title"/>
    <w:basedOn w:val="Normal"/>
    <w:next w:val="Corpodetexto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zCs w:val="20"/>
    </w:rPr>
  </w:style>
  <w:style w:type="paragraph" w:styleId="NormalWeb">
    <w:name w:val="Normal (Web)"/>
    <w:basedOn w:val="Normal"/>
    <w:semiHidden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04partenormativa">
    <w:name w:val="04partenormativa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texto1">
    <w:name w:val="texto1"/>
    <w:basedOn w:val="Normal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4996</Words>
  <Characters>26984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Tabela 4</vt:lpstr>
    </vt:vector>
  </TitlesOfParts>
  <Company>Receita Federal</Company>
  <LinksUpToDate>false</LinksUpToDate>
  <CharactersWithSpaces>31917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4</dc:title>
  <dc:creator>14206315434</dc:creator>
  <cp:lastModifiedBy>ANDRE</cp:lastModifiedBy>
  <cp:revision>2</cp:revision>
  <cp:lastPrinted>1601-01-01T00:00:00Z</cp:lastPrinted>
  <dcterms:created xsi:type="dcterms:W3CDTF">2017-11-09T16:20:00Z</dcterms:created>
  <dcterms:modified xsi:type="dcterms:W3CDTF">2017-11-09T16:20:00Z</dcterms:modified>
</cp:coreProperties>
</file>